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香河县司法局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both"/>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（一）承担全面依法治县重大问题的政策研究。组织协调有关方面提出全面依法治县中长期规划建议，负责有关重大决策部署督察工作。</w:t>
      </w:r>
    </w:p>
    <w:p>
      <w:pPr>
        <w:spacing w:line="5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（二）负责起草或组织起草有关地方性法规和政府规章草案。承办各部门报送县政府的地方性法规和政府规章草案的审查</w:t>
      </w:r>
      <w:r>
        <w:rPr>
          <w:rFonts w:hint="eastAsia" w:ascii="仿宋" w:hAnsi="仿宋" w:eastAsia="仿宋" w:cs="仿宋"/>
          <w:sz w:val="32"/>
          <w:szCs w:val="32"/>
          <w:lang w:val="en-US" w:eastAsia="zh-CN"/>
        </w:rPr>
        <w:t>工作。</w:t>
      </w:r>
    </w:p>
    <w:p>
      <w:pPr>
        <w:spacing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负责县政府各部门、各镇（社区、园区)政府规范性文件的备案审查工作。负责对县政府政策措施、规范性文件和合同协议的合法性审核工作；承办县政府交办的涉法事务；承办县政府规章和规范性文件上报国务院、市人大常委会、市政府和县人大常委会备案工作；负责县政府规章的编纂工作。</w:t>
      </w:r>
    </w:p>
    <w:p>
      <w:pPr>
        <w:spacing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承担统筹推进香河法治政府建设的责任。指导、监督县政府各部门、地方各级政府依法行政工作；负责综合协调行政执法工作；承担推进行政执法体制改革有关工作；推进严格规范公正文明执法。依法承办行政复议案件；受县政府委托，代理行政诉讼案件的应诉；指导、监督全县行政复议和行政应诉工作。</w:t>
      </w:r>
    </w:p>
    <w:p>
      <w:pPr>
        <w:spacing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承担统筹规划全县法治社会建设的责任。负责拟订全县法治宣传教育规划，组织实施普法宣传工作；推动全县人民参与和促进法治建设；指导全县依法治理和法治创建工作；指导全县调解工作，负责和指导全县人民陪审员、人民监督员选任管理工作；负责全县司法所建设。</w:t>
      </w:r>
    </w:p>
    <w:p>
      <w:pPr>
        <w:spacing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（六）负责全县社区矫正工作；负责全县刑满释放人员帮教安置工作。</w:t>
      </w:r>
    </w:p>
    <w:p>
      <w:pPr>
        <w:spacing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（七）负责制定全县公共法律服务体系建设规划并指导实施，统筹和布局城乡、区域法律服务资源。负责全县律师、公证、法律援助、司法鉴定和基层法律服务管理工作。</w:t>
      </w:r>
    </w:p>
    <w:p>
      <w:pPr>
        <w:spacing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（八）负责本系统服装和警车等物资装备管理工作；指导、监督本系统财务、装备、设施、场所等保障工作。</w:t>
      </w:r>
    </w:p>
    <w:p>
      <w:pPr>
        <w:spacing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九</w:t>
      </w:r>
      <w:r>
        <w:rPr>
          <w:rFonts w:hint="eastAsia" w:ascii="仿宋" w:hAnsi="仿宋" w:eastAsia="仿宋" w:cs="仿宋"/>
          <w:sz w:val="32"/>
          <w:szCs w:val="32"/>
        </w:rPr>
        <w:t>）规划、协调、指导全县法治人才队伍建设相关工作。指导、监督本系统队伍建设；协助各镇（社区、园区）管理司法局领导干部。</w:t>
      </w:r>
    </w:p>
    <w:p>
      <w:pPr>
        <w:spacing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十</w:t>
      </w:r>
      <w:r>
        <w:rPr>
          <w:rFonts w:hint="eastAsia" w:ascii="仿宋" w:hAnsi="仿宋" w:eastAsia="仿宋" w:cs="仿宋"/>
          <w:sz w:val="32"/>
          <w:szCs w:val="32"/>
        </w:rPr>
        <w:t>）完成县委、县政府交办的其他任务。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香河县司法局</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after="0" w:line="600" w:lineRule="exact"/>
        <w:ind w:firstLine="640"/>
        <w:rPr>
          <w:rFonts w:ascii="仿宋" w:hAnsi="仿宋" w:eastAsia="仿宋"/>
          <w:sz w:val="32"/>
          <w:szCs w:val="32"/>
        </w:rPr>
      </w:pPr>
      <w:r>
        <w:rPr>
          <w:rFonts w:hint="eastAsia" w:ascii="仿宋_GB2312" w:hAnsi="Times New Roman" w:eastAsia="仿宋_GB2312" w:cs="DengXian-Regular"/>
          <w:sz w:val="32"/>
          <w:szCs w:val="32"/>
        </w:rPr>
        <w:t>本部门2019年度收</w:t>
      </w:r>
      <w:r>
        <w:rPr>
          <w:rFonts w:hint="eastAsia" w:ascii="仿宋_GB2312" w:hAnsi="Times New Roman" w:eastAsia="仿宋_GB2312" w:cs="DengXian-Regular"/>
          <w:sz w:val="32"/>
          <w:szCs w:val="32"/>
          <w:lang w:val="en-US" w:eastAsia="zh-CN"/>
        </w:rPr>
        <w:t>入总计1200.33万元，其中</w:t>
      </w:r>
      <w:r>
        <w:rPr>
          <w:rFonts w:hint="eastAsia" w:ascii="仿宋_GB2312" w:hAnsi="Times New Roman" w:eastAsia="仿宋_GB2312" w:cs="DengXian-Regular"/>
          <w:sz w:val="32"/>
          <w:szCs w:val="32"/>
        </w:rPr>
        <w:t>结转和结余</w:t>
      </w:r>
      <w:r>
        <w:rPr>
          <w:rFonts w:hint="eastAsia" w:ascii="仿宋_GB2312" w:hAnsi="Times New Roman" w:eastAsia="仿宋_GB2312" w:cs="DengXian-Regular"/>
          <w:sz w:val="32"/>
          <w:szCs w:val="32"/>
          <w:lang w:val="en-US" w:eastAsia="zh-CN"/>
        </w:rPr>
        <w:t>19.22万元，本年收入1181.11万元；</w:t>
      </w:r>
      <w:r>
        <w:rPr>
          <w:rFonts w:hint="eastAsia" w:ascii="仿宋_GB2312" w:hAnsi="Times New Roman" w:eastAsia="仿宋_GB2312" w:cs="DengXian-Regular"/>
          <w:sz w:val="32"/>
          <w:szCs w:val="32"/>
        </w:rPr>
        <w:t>2019年度</w:t>
      </w:r>
      <w:r>
        <w:rPr>
          <w:rFonts w:hint="eastAsia" w:ascii="仿宋_GB2312" w:hAnsi="Times New Roman" w:eastAsia="仿宋_GB2312" w:cs="DengXian-Regular"/>
          <w:sz w:val="32"/>
          <w:szCs w:val="32"/>
          <w:lang w:val="en-US" w:eastAsia="zh-CN"/>
        </w:rPr>
        <w:t>支出总计1109.54万元；</w:t>
      </w:r>
      <w:r>
        <w:rPr>
          <w:rFonts w:hint="eastAsia" w:ascii="仿宋_GB2312" w:hAnsi="Times New Roman" w:eastAsia="仿宋_GB2312" w:cs="DengXian-Regular"/>
          <w:sz w:val="32"/>
          <w:szCs w:val="32"/>
        </w:rPr>
        <w:t>与201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年度决算相比，收</w:t>
      </w:r>
      <w:r>
        <w:rPr>
          <w:rFonts w:hint="eastAsia" w:ascii="仿宋_GB2312" w:hAnsi="Times New Roman" w:eastAsia="仿宋_GB2312" w:cs="DengXian-Regular"/>
          <w:sz w:val="32"/>
          <w:szCs w:val="32"/>
          <w:lang w:val="en-US" w:eastAsia="zh-CN"/>
        </w:rPr>
        <w:t>入</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18.31</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1.53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与上年相比减少了项目经费；</w:t>
      </w:r>
      <w:r>
        <w:rPr>
          <w:rFonts w:hint="eastAsia" w:ascii="仿宋" w:hAnsi="仿宋" w:eastAsia="仿宋"/>
          <w:sz w:val="32"/>
          <w:szCs w:val="32"/>
        </w:rPr>
        <w:t>本年支出</w:t>
      </w:r>
      <w:r>
        <w:rPr>
          <w:rFonts w:hint="eastAsia" w:ascii="仿宋" w:hAnsi="仿宋" w:eastAsia="仿宋"/>
          <w:sz w:val="32"/>
          <w:szCs w:val="32"/>
          <w:lang w:val="en-US" w:eastAsia="zh-CN"/>
        </w:rPr>
        <w:t>比上年减少52.57</w:t>
      </w:r>
      <w:r>
        <w:rPr>
          <w:rFonts w:hint="eastAsia" w:ascii="仿宋" w:hAnsi="仿宋" w:eastAsia="仿宋"/>
          <w:sz w:val="32"/>
          <w:szCs w:val="32"/>
        </w:rPr>
        <w:t>万元，</w:t>
      </w:r>
      <w:r>
        <w:rPr>
          <w:rFonts w:hint="eastAsia" w:ascii="仿宋" w:hAnsi="仿宋" w:eastAsia="仿宋"/>
          <w:sz w:val="32"/>
          <w:szCs w:val="32"/>
          <w:lang w:val="en-US" w:eastAsia="zh-CN"/>
        </w:rPr>
        <w:t>减少4.52</w:t>
      </w:r>
      <w:r>
        <w:rPr>
          <w:rFonts w:hint="eastAsia" w:ascii="仿宋" w:hAnsi="仿宋" w:eastAsia="仿宋"/>
          <w:sz w:val="32"/>
          <w:szCs w:val="32"/>
        </w:rPr>
        <w:t>%，主要是</w:t>
      </w:r>
      <w:r>
        <w:rPr>
          <w:rFonts w:hint="eastAsia" w:ascii="仿宋" w:hAnsi="仿宋" w:eastAsia="仿宋"/>
          <w:sz w:val="32"/>
          <w:szCs w:val="32"/>
          <w:lang w:val="en-US" w:eastAsia="zh-CN"/>
        </w:rPr>
        <w:t>本着厉行节俭的原则减少了</w:t>
      </w:r>
      <w:r>
        <w:rPr>
          <w:rFonts w:hint="eastAsia" w:ascii="仿宋" w:hAnsi="仿宋" w:eastAsia="仿宋"/>
          <w:sz w:val="32"/>
          <w:szCs w:val="32"/>
        </w:rPr>
        <w:t>日常公用经费支出</w:t>
      </w:r>
      <w:r>
        <w:rPr>
          <w:rFonts w:hint="eastAsia" w:ascii="仿宋" w:hAnsi="仿宋" w:eastAsia="仿宋"/>
          <w:sz w:val="32"/>
          <w:szCs w:val="32"/>
          <w:lang w:val="en-US" w:eastAsia="zh-CN"/>
        </w:rPr>
        <w:t>和项目经费支出</w:t>
      </w:r>
      <w:r>
        <w:rPr>
          <w:rFonts w:hint="eastAsia" w:ascii="仿宋" w:hAnsi="仿宋" w:eastAsia="仿宋"/>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1181.11</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1181.11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sz w:val="32"/>
        </w:rPr>
        <mc:AlternateContent>
          <mc:Choice Requires="wps">
            <w:drawing>
              <wp:anchor distT="0" distB="0" distL="114300" distR="114300" simplePos="0" relativeHeight="437326848" behindDoc="0" locked="0" layoutInCell="1" allowOverlap="1">
                <wp:simplePos x="0" y="0"/>
                <wp:positionH relativeFrom="column">
                  <wp:posOffset>5936615</wp:posOffset>
                </wp:positionH>
                <wp:positionV relativeFrom="paragraph">
                  <wp:posOffset>104775</wp:posOffset>
                </wp:positionV>
                <wp:extent cx="96520" cy="490220"/>
                <wp:effectExtent l="0" t="0" r="17780" b="5080"/>
                <wp:wrapNone/>
                <wp:docPr id="89" name="文本框 32"/>
                <wp:cNvGraphicFramePr/>
                <a:graphic xmlns:a="http://schemas.openxmlformats.org/drawingml/2006/main">
                  <a:graphicData uri="http://schemas.microsoft.com/office/word/2010/wordprocessingShape">
                    <wps:wsp>
                      <wps:cNvSpPr txBox="1"/>
                      <wps:spPr>
                        <a:xfrm flipH="1">
                          <a:off x="2498725" y="8348980"/>
                          <a:ext cx="96520" cy="49022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26" o:spt="202" type="#_x0000_t202" style="position:absolute;left:0pt;flip:x;margin-left:467.45pt;margin-top:8.25pt;height:38.6pt;width:7.6pt;z-index:437326848;mso-width-relative:page;mso-height-relative:page;" fillcolor="#FFFFFF" filled="t" stroked="f" coordsize="21600,21600" o:gfxdata="UEsDBAoAAAAAAIdO4kAAAAAAAAAAAAAAAAAEAAAAZHJzL1BLAwQUAAAACACHTuJADpPHD9YAAAAJ&#10;AQAADwAAAGRycy9kb3ducmV2LnhtbE2PMU/DMBCF90r8B+uQ2Fo7aZuSEKcDEhsLARVGNz6SiPgc&#10;xW4b+PVcJxhP39N735X72Q3ijFPoPWlIVgoEUuNtT62Gt9en5T2IEA1ZM3hCDd8YYF/dLEpTWH+h&#10;FzzXsRVcQqEwGroYx0LK0HToTFj5EYnZp5+ciXxOrbSTuXC5G2SqVCad6YkXOjPiY4fNV31yGtLs&#10;ZxPCrn7/oFbOa4+H5vCcan13m6gHEBHn+BeGqz6rQ8VOR38iG8SgIV9vco4yyLYgOJBvVQLieCU7&#10;kFUp/39Q/QJQSwMEFAAAAAgAh07iQGwT0lBLAgAAZQQAAA4AAABkcnMvZTJvRG9jLnhtbK1UzW4a&#10;MRC+V+o7WL43CwskgFgiSkRbCTWR0qpn47XBktfj2oZd+gDNG/TUS+99rjxHx94lpT+nqhysGc/H&#10;N55vZnZ23VSaHITzCkxB+xc9SoThUCqzLej7d6sXY0p8YKZkGowo6FF4ej1//mxW26nIYQe6FI4g&#10;ifHT2hZ0F4KdZpnnO1ExfwFWGAxKcBUL6LptVjpWI3uls7zXu8xqcKV1wIX3eHvTBuk88UspeLiV&#10;0otAdEHxbSGdLp2beGbzGZtuHbM7xbtnsH94RcWUwaRPVDcsMLJ36g+qSnEHHmS44FBlIKXiItWA&#10;1fR7v1Vzv2NWpFpQHG+fZPL/j5a/Pdw5osqCjieUGFZhjx6/PDx+/f747TMZ5FGg2vop4u4tIkPz&#10;Ehps9One42Wsu5GuIlIr+zoG4w3WRhCZDyfjq3xEyRFTDIbjybgTXTSBcARMLkc5doZjfDjp5Whj&#10;yqxljDzW+fBKQEWiUVCHLU387LD2oYWeIBHuQatypbROjttultqRA8P2r9KvY/8Fpg2pC3o5GPUS&#10;s4H4/5Zam8gj0iR1+aIcbdnRCs2m6TTaQHlEiRy0U+YtXyl885r5cMccjhWWiasSbvGQGjAldBYl&#10;O3Cf/nYf8dhtjFJS45gW1H/cMyco0W8MzsGkPxzGuU7OcHQVpXTnkc15xOyrJaAUfVxKy5MZ8UGf&#10;TOmg+oAbtYhZMcQMx9wFDSdzGdrlwY3kYrFIIJxky8La3Ft+ar6BxT6AVKlBUaZWG2xsdHCWU4u7&#10;vYvLcu4n1M+vw/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pPHD9YAAAAJAQAADwAAAAAAAAAB&#10;ACAAAAAiAAAAZHJzL2Rvd25yZXYueG1sUEsBAhQAFAAAAAgAh07iQGwT0lBLAgAAZQQAAA4AAAAA&#10;AAAAAQAgAAAAJQEAAGRycy9lMm9Eb2MueG1sUEsFBgAAAAAGAAYAWQEAAOIFAAAAAA==&#10;">
                <v:fill on="t" focussize="0,0"/>
                <v:stroke on="f" weight="0.5pt"/>
                <v:imagedata o:title=""/>
                <o:lock v:ext="edit" aspectratio="f"/>
                <v:textbox>
                  <w:txbxContent>
                    <w:p>
                      <w:pPr>
                        <w:spacing w:after="160" w:line="480" w:lineRule="auto"/>
                        <w:rPr>
                          <w:rFonts w:ascii="Times New Roman" w:hAnsi="Times New Roman" w:eastAsia="宋体" w:cs="Times New Roman"/>
                          <w:sz w:val="20"/>
                        </w:rPr>
                      </w:pPr>
                    </w:p>
                  </w:txbxContent>
                </v:textbox>
              </v:shape>
            </w:pict>
          </mc:Fallback>
        </mc:AlternateContent>
      </w: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1109.54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959.11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86.44</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150.43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13.56</w:t>
      </w:r>
      <w:r>
        <w:rPr>
          <w:rFonts w:hint="eastAsia" w:ascii="仿宋_GB2312" w:hAnsi="Times New Roman" w:eastAsia="仿宋_GB2312" w:cs="DengXian-Regular"/>
          <w:sz w:val="32"/>
          <w:szCs w:val="32"/>
        </w:rPr>
        <w:t>%。如图所示：</w:t>
      </w:r>
    </w:p>
    <w:p>
      <w:pPr>
        <w:jc w:val="center"/>
        <w:rPr>
          <w:rFonts w:ascii="仿宋_GB2312" w:hAnsi="Times New Roman" w:eastAsia="仿宋_GB2312" w:cs="DengXian-Regular"/>
          <w:sz w:val="32"/>
          <w:szCs w:val="32"/>
        </w:rPr>
      </w:pPr>
      <w:r>
        <mc:AlternateContent>
          <mc:Choice Requires="wps">
            <w:drawing>
              <wp:anchor distT="0" distB="0" distL="114300" distR="114300" simplePos="0" relativeHeight="437308416" behindDoc="0" locked="0" layoutInCell="1" allowOverlap="1">
                <wp:simplePos x="0" y="0"/>
                <wp:positionH relativeFrom="column">
                  <wp:posOffset>853440</wp:posOffset>
                </wp:positionH>
                <wp:positionV relativeFrom="paragraph">
                  <wp:posOffset>2094865</wp:posOffset>
                </wp:positionV>
                <wp:extent cx="3576320" cy="391795"/>
                <wp:effectExtent l="0" t="0" r="5080" b="8255"/>
                <wp:wrapNone/>
                <wp:docPr id="87" name="文本框 32"/>
                <wp:cNvGraphicFramePr/>
                <a:graphic xmlns:a="http://schemas.openxmlformats.org/drawingml/2006/main">
                  <a:graphicData uri="http://schemas.microsoft.com/office/word/2010/wordprocessingShape">
                    <wps:wsp>
                      <wps:cNvSpPr txBox="1"/>
                      <wps:spPr>
                        <a:xfrm>
                          <a:off x="0" y="0"/>
                          <a:ext cx="3576320" cy="392103"/>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1</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26" o:spt="202" type="#_x0000_t202" style="position:absolute;left:0pt;margin-left:67.2pt;margin-top:164.95pt;height:30.85pt;width:281.6pt;z-index:437308416;mso-width-relative:page;mso-height-relative:page;" fillcolor="#FFFFFF" filled="t" stroked="f" coordsize="21600,21600" o:gfxdata="UEsDBAoAAAAAAIdO4kAAAAAAAAAAAAAAAAAEAAAAZHJzL1BLAwQUAAAACACHTuJAOU34ktYAAAAL&#10;AQAADwAAAGRycy9kb3ducmV2LnhtbE2Py07DMBBF90j8gzWV2FEnbRRIiNMFElsk+lq78RBHtcdR&#10;7D6/nmEFyztzdOdMs7p6J844xSGQgnyegUDqghmoV7DdfDy/gohJk9EuECq4YYRV+/jQ6NqEC33h&#10;eZ16wSUUa63ApjTWUsbOotdxHkYk3n2HyevEceqlmfSFy72TiywrpdcD8QWrR3y32B3XJ69g3/v7&#10;fpePkzXeFfR5v222YVDqaZZnbyASXtMfDL/6rA4tOx3CiUwUjvOyKBhVsFxUFQgmyuqlBHHgSZWX&#10;INtG/v+h/QFQSwMEFAAAAAgAh07iQLPZvuY7AgAAUQQAAA4AAABkcnMvZTJvRG9jLnhtbK1UzY7a&#10;MBC+V+o7WL6XBMLPLiKsKCuqSqi7Eq16No5DIjke1zYk9AHaN9hTL733uXiOjp3A0p9T1Ryc+cs3&#10;nm9mMrtrKkkOwtgSVEr7vZgSoThkpdql9MP71asbSqxjKmMSlEjpUVh6N3/5YlbrqRhAATIThiCI&#10;stNap7RwTk+jyPJCVMz2QAuFzhxMxRyqZhdlhtWIXsloEMfjqAaTaQNcWIvW+9ZJ5wE/zwV3D3lu&#10;hSMypXg3F04Tzq0/o/mMTXeG6aLk3TXYP9yiYqXCpBeoe+YY2ZvyD6iq5AYs5K7HoYogz0suQg1Y&#10;TT/+rZpNwbQItSA5Vl9osv8Plr87PBpSZim9mVCiWIU9Oj19PX37cfr+hSQDT1Ct7RTjNhojXfMa&#10;Gmz02W7R6OtuclP5N1ZE0I9UHy/0isYRjsZkNBknA3Rx9CW3g36ceJjo+WttrHsjoCJeSKnB9gVW&#10;2WFtXRt6DvHJLMgyW5VSBsXstktpyIFhq1fh6dB/CZOK1CkdJ6M4ICvw37fQUnkcEaamy+dLb0v0&#10;kmu2TcfHFrIj0mGgnSir+arEO6+ZdY/M4AhhmbgW7gGPXAKmhE6ipADz+W92H4+dRS8lNY5kSu2n&#10;PTOCEvlWYc9v+8Ohn+GgDEcTT6W59myvPWpfLQGp6OMCah5EH+/kWcwNVB9xexY+K7qY4pg7pe4s&#10;Ll27KLh9XCwWIQinVjO3VhvNPbQnTMFi7yAvQ4M8TS032Fiv4NyGFnc75hfjWg9Rz3+C+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5TfiS1gAAAAsBAAAPAAAAAAAAAAEAIAAAACIAAABkcnMvZG93&#10;bnJldi54bWxQSwECFAAUAAAACACHTuJAs9m+5jsCAABRBAAADgAAAAAAAAABACAAAAAlAQAAZHJz&#10;L2Uyb0RvYy54bWxQSwUGAAAAAAYABgBZAQAA0gU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1</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cs="Times New Roman"/>
                          <w:sz w:val="20"/>
                        </w:rPr>
                      </w:pPr>
                    </w:p>
                  </w:txbxContent>
                </v:textbox>
              </v:shape>
            </w:pict>
          </mc:Fallback>
        </mc:AlternateContent>
      </w:r>
      <w:r>
        <w:drawing>
          <wp:inline distT="0" distB="0" distL="0" distR="0">
            <wp:extent cx="3977640" cy="2400300"/>
            <wp:effectExtent l="4445" t="4445" r="18415" b="14605"/>
            <wp:docPr id="88" name="图表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keepNext/>
        <w:keepLines/>
        <w:numPr>
          <w:ilvl w:val="0"/>
          <w:numId w:val="0"/>
        </w:numPr>
        <w:snapToGrid w:val="0"/>
        <w:spacing w:line="580" w:lineRule="exact"/>
        <w:ind w:firstLine="960" w:firstLineChars="300"/>
        <w:outlineLvl w:val="1"/>
        <w:rPr>
          <w:rFonts w:ascii="黑体" w:hAnsi="Calibri" w:eastAsia="黑体" w:cs="Times New Roman"/>
          <w:sz w:val="32"/>
          <w:szCs w:val="32"/>
        </w:rPr>
      </w:pPr>
      <w:r>
        <w:rPr>
          <w:rFonts w:hint="eastAsia" w:ascii="黑体" w:hAnsi="Cambria" w:eastAsia="黑体" w:cs="黑体"/>
          <w:kern w:val="0"/>
          <w:sz w:val="32"/>
          <w:szCs w:val="32"/>
          <w:lang w:val="en-US" w:eastAsia="zh-CN"/>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after="0" w:line="600" w:lineRule="exact"/>
        <w:ind w:firstLine="640"/>
        <w:rPr>
          <w:rFonts w:ascii="仿宋" w:hAnsi="仿宋" w:eastAsia="仿宋"/>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1181.11</w:t>
      </w:r>
      <w:r>
        <w:rPr>
          <w:rFonts w:hint="eastAsia" w:ascii="仿宋_GB2312" w:hAnsi="Times New Roman" w:eastAsia="仿宋_GB2312" w:cs="DengXian-Regular"/>
          <w:sz w:val="32"/>
          <w:szCs w:val="32"/>
        </w:rPr>
        <w:t>万元,与201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年度决算相比，收</w:t>
      </w:r>
      <w:r>
        <w:rPr>
          <w:rFonts w:hint="eastAsia" w:ascii="仿宋_GB2312" w:hAnsi="Times New Roman" w:eastAsia="仿宋_GB2312" w:cs="DengXian-Regular"/>
          <w:sz w:val="32"/>
          <w:szCs w:val="32"/>
          <w:lang w:val="en-US" w:eastAsia="zh-CN"/>
        </w:rPr>
        <w:t>入</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18.31</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1.53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与上年相比减少了项目经费；</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1109.54</w:t>
      </w:r>
      <w:r>
        <w:rPr>
          <w:rFonts w:hint="eastAsia" w:ascii="仿宋_GB2312" w:hAnsi="Times New Roman" w:eastAsia="仿宋_GB2312" w:cs="DengXian-Regular"/>
          <w:sz w:val="32"/>
          <w:szCs w:val="32"/>
        </w:rPr>
        <w:t>万元，</w:t>
      </w:r>
      <w:r>
        <w:rPr>
          <w:rFonts w:hint="eastAsia" w:ascii="仿宋" w:hAnsi="仿宋" w:eastAsia="仿宋"/>
          <w:sz w:val="32"/>
          <w:szCs w:val="32"/>
        </w:rPr>
        <w:t>本年支出</w:t>
      </w:r>
      <w:r>
        <w:rPr>
          <w:rFonts w:hint="eastAsia" w:ascii="仿宋" w:hAnsi="仿宋" w:eastAsia="仿宋"/>
          <w:sz w:val="32"/>
          <w:szCs w:val="32"/>
          <w:lang w:val="en-US" w:eastAsia="zh-CN"/>
        </w:rPr>
        <w:t>比上年减少52.57</w:t>
      </w:r>
      <w:r>
        <w:rPr>
          <w:rFonts w:hint="eastAsia" w:ascii="仿宋" w:hAnsi="仿宋" w:eastAsia="仿宋"/>
          <w:sz w:val="32"/>
          <w:szCs w:val="32"/>
        </w:rPr>
        <w:t>万元，</w:t>
      </w:r>
      <w:r>
        <w:rPr>
          <w:rFonts w:hint="eastAsia" w:ascii="仿宋" w:hAnsi="仿宋" w:eastAsia="仿宋"/>
          <w:sz w:val="32"/>
          <w:szCs w:val="32"/>
          <w:lang w:val="en-US" w:eastAsia="zh-CN"/>
        </w:rPr>
        <w:t>减少4.52</w:t>
      </w:r>
      <w:r>
        <w:rPr>
          <w:rFonts w:hint="eastAsia" w:ascii="仿宋" w:hAnsi="仿宋" w:eastAsia="仿宋"/>
          <w:sz w:val="32"/>
          <w:szCs w:val="32"/>
        </w:rPr>
        <w:t>%，主要是</w:t>
      </w:r>
      <w:r>
        <w:rPr>
          <w:rFonts w:hint="eastAsia" w:ascii="仿宋" w:hAnsi="仿宋" w:eastAsia="仿宋"/>
          <w:sz w:val="32"/>
          <w:szCs w:val="32"/>
          <w:lang w:val="en-US" w:eastAsia="zh-CN"/>
        </w:rPr>
        <w:t>本着厉行节俭的原则减少了</w:t>
      </w:r>
      <w:r>
        <w:rPr>
          <w:rFonts w:hint="eastAsia" w:ascii="仿宋" w:hAnsi="仿宋" w:eastAsia="仿宋"/>
          <w:sz w:val="32"/>
          <w:szCs w:val="32"/>
        </w:rPr>
        <w:t>日常公用经费支出</w:t>
      </w:r>
      <w:r>
        <w:rPr>
          <w:rFonts w:hint="eastAsia" w:ascii="仿宋" w:hAnsi="仿宋" w:eastAsia="仿宋"/>
          <w:sz w:val="32"/>
          <w:szCs w:val="32"/>
          <w:lang w:val="en-US" w:eastAsia="zh-CN"/>
        </w:rPr>
        <w:t>和项目经费</w:t>
      </w:r>
      <w:r>
        <w:rPr>
          <w:rFonts w:hint="eastAsia" w:ascii="仿宋" w:hAnsi="仿宋" w:eastAsia="仿宋"/>
          <w:sz w:val="32"/>
          <w:szCs w:val="32"/>
        </w:rPr>
        <w:t>。</w:t>
      </w:r>
    </w:p>
    <w:p>
      <w:pPr>
        <w:adjustRightInd w:val="0"/>
        <w:snapToGrid w:val="0"/>
        <w:spacing w:line="580" w:lineRule="exact"/>
        <w:ind w:firstLine="420" w:firstLineChars="200"/>
        <w:rPr>
          <w:rFonts w:ascii="仿宋_GB2312" w:hAnsi="Times New Roman" w:eastAsia="仿宋_GB2312" w:cs="DengXian-Regular"/>
          <w:sz w:val="32"/>
          <w:szCs w:val="32"/>
          <w:highlight w:val="yellow"/>
        </w:rPr>
      </w:pPr>
      <w:r>
        <mc:AlternateContent>
          <mc:Choice Requires="wps">
            <w:drawing>
              <wp:anchor distT="0" distB="0" distL="114300" distR="114300" simplePos="0" relativeHeight="437357568" behindDoc="0" locked="0" layoutInCell="1" allowOverlap="1">
                <wp:simplePos x="0" y="0"/>
                <wp:positionH relativeFrom="column">
                  <wp:posOffset>1005840</wp:posOffset>
                </wp:positionH>
                <wp:positionV relativeFrom="paragraph">
                  <wp:posOffset>4457065</wp:posOffset>
                </wp:positionV>
                <wp:extent cx="3576320" cy="391795"/>
                <wp:effectExtent l="0" t="0" r="5080" b="8255"/>
                <wp:wrapNone/>
                <wp:docPr id="36" name="文本框 32"/>
                <wp:cNvGraphicFramePr/>
                <a:graphic xmlns:a="http://schemas.openxmlformats.org/drawingml/2006/main">
                  <a:graphicData uri="http://schemas.microsoft.com/office/word/2010/wordprocessingShape">
                    <wps:wsp>
                      <wps:cNvSpPr txBox="1"/>
                      <wps:spPr>
                        <a:xfrm>
                          <a:off x="0" y="0"/>
                          <a:ext cx="3576320" cy="392103"/>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2</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26" o:spt="202" type="#_x0000_t202" style="position:absolute;left:0pt;margin-left:79.2pt;margin-top:350.95pt;height:30.85pt;width:281.6pt;z-index:437357568;mso-width-relative:page;mso-height-relative:page;" fillcolor="#FFFFFF" filled="t" stroked="f" coordsize="21600,21600" o:gfxdata="UEsDBAoAAAAAAIdO4kAAAAAAAAAAAAAAAAAEAAAAZHJzL1BLAwQUAAAACACHTuJAZpw6X9YAAAAL&#10;AQAADwAAAGRycy9kb3ducmV2LnhtbE2Py07DMBBF90j8gzVI7KjtUtIS4nSBxBapD7p2YxNH2OPI&#10;dp9f32EFu7maoztnmuU5eHa0KQ8RFciJAGaxi2bAXsF28/G0AJaLRqN9RKvgYjMs2/u7RtcmnnBl&#10;j+vSMyrBXGsFrpSx5jx3zgadJ3G0SLvvmIIuFFPPTdInKg+eT4WoeNAD0gWnR/vubPezPgQFuz5c&#10;d19yTM4EP8PP62WzjYNSjw9SvAEr9lz+YPjVJ3VoyWkfD2gy85RfFjNCFcyFfAVGxHwqK2B7Gqrn&#10;Cnjb8P8/tDdQSwMEFAAAAAgAh07iQPoaDdw6AgAAUQQAAA4AAABkcnMvZTJvRG9jLnhtbK1UzY7a&#10;MBC+V+o7WL6XBAJsFxFWlBVVJdRdiVY9G8cBS47HtQ0JfYD2DXrqpfc+F8/RsRNY+nOqmoMzf/nG&#10;881MpndNpchBWCdB57TfSykRmkMh9Tan798tX7ykxHmmC6ZAi5wehaN3s+fPprWZiAHsQBXCEgTR&#10;blKbnO68N5MkcXwnKuZ6YIRGZwm2Yh5Vu00Ky2pEr1QySNNxUoMtjAUunEPrfeuks4hfloL7h7J0&#10;whOVU7ybj6eN5yacyWzKJlvLzE7y7hrsH25RMakx6QXqnnlG9lb+AVVJbsFB6XscqgTKUnIRa8Bq&#10;+ulv1ax3zIhYC5LjzIUm9/9g+dvDoyWyyGk2pkSzCnt0+vrl9O3H6ftnkg0CQbVxE4xbG4z0zSto&#10;sNFnu0NjqLspbRXeWBFBP1J9vNArGk84GrPRzTgboIujL7sd9NMswCRPXxvr/GsBFQlCTi22L7LK&#10;Divn29BzSEjmQMliKZWKit1uFsqSA8NWL+PTof8SpjSpczrORmlE1hC+b6GVDjgiTk2XL5Telhgk&#10;32yajo8NFEekw0I7Uc7wpcQ7r5jzj8ziCGGZuBb+AY9SAaaETqJkB/bT3+whHjuLXkpqHMmcuo97&#10;ZgUl6o3Gnt/2h8Mww1EZjm4Clfbas7n26H21AKSijwtoeBRDvFdnsbRQfcDtmYes6GKaY+6c+rO4&#10;8O2i4PZxMZ/HIJxaw/xKrw0P0IEwDfO9h1LGBgWaWm6wsUHBuY0t7nYsLMa1HqOe/gS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acOl/WAAAACwEAAA8AAAAAAAAAAQAgAAAAIgAAAGRycy9kb3du&#10;cmV2LnhtbFBLAQIUABQAAAAIAIdO4kD6Gg3cOgIAAFEEAAAOAAAAAAAAAAEAIAAAACUBAABkcnMv&#10;ZTJvRG9jLnhtbFBLBQYAAAAABgAGAFkBAADRBQ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2</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cs="Times New Roman"/>
                          <w:sz w:val="20"/>
                        </w:rPr>
                      </w:pPr>
                    </w:p>
                  </w:txbxContent>
                </v:textbox>
              </v:shape>
            </w:pict>
          </mc:Fallback>
        </mc:AlternateContent>
      </w:r>
      <w:r>
        <w:drawing>
          <wp:anchor distT="0" distB="0" distL="114300" distR="114300" simplePos="0" relativeHeight="437351424" behindDoc="0" locked="0" layoutInCell="1" allowOverlap="1">
            <wp:simplePos x="0" y="0"/>
            <wp:positionH relativeFrom="column">
              <wp:posOffset>480060</wp:posOffset>
            </wp:positionH>
            <wp:positionV relativeFrom="paragraph">
              <wp:posOffset>228600</wp:posOffset>
            </wp:positionV>
            <wp:extent cx="4572000" cy="4191000"/>
            <wp:effectExtent l="4445" t="4445" r="14605" b="14605"/>
            <wp:wrapTopAndBottom/>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1181.11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87.06</w:t>
      </w:r>
      <w:r>
        <w:rPr>
          <w:rFonts w:hint="eastAsia" w:ascii="仿宋_GB2312" w:hAnsi="Times New Roman" w:eastAsia="仿宋_GB2312" w:cs="DengXian-Regular"/>
          <w:sz w:val="32"/>
          <w:szCs w:val="32"/>
        </w:rPr>
        <w:t>%（如图</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175.53</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减少了项目支出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1109.54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81.79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247.1</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减少了项目支出</w:t>
      </w:r>
      <w:r>
        <w:rPr>
          <w:rFonts w:hint="eastAsia" w:ascii="仿宋_GB2312" w:hAnsi="Times New Roman" w:eastAsia="仿宋_GB2312" w:cs="DengXian-Regular"/>
          <w:sz w:val="32"/>
          <w:szCs w:val="32"/>
        </w:rPr>
        <w:t>。</w:t>
      </w:r>
    </w:p>
    <w:p>
      <w:pPr>
        <w:adjustRightInd w:val="0"/>
        <w:snapToGrid w:val="0"/>
        <w:spacing w:line="580" w:lineRule="exact"/>
        <w:ind w:firstLine="420" w:firstLineChars="200"/>
        <w:rPr>
          <w:rFonts w:ascii="仿宋_GB2312" w:hAnsi="Times New Roman" w:eastAsia="仿宋_GB2312" w:cs="DengXian-Regular"/>
          <w:sz w:val="32"/>
          <w:szCs w:val="32"/>
          <w:highlight w:val="yellow"/>
        </w:rPr>
      </w:pPr>
      <w:r>
        <w:drawing>
          <wp:anchor distT="0" distB="0" distL="114300" distR="114300" simplePos="0" relativeHeight="437390336" behindDoc="0" locked="0" layoutInCell="1" allowOverlap="1">
            <wp:simplePos x="0" y="0"/>
            <wp:positionH relativeFrom="column">
              <wp:posOffset>384810</wp:posOffset>
            </wp:positionH>
            <wp:positionV relativeFrom="paragraph">
              <wp:posOffset>389890</wp:posOffset>
            </wp:positionV>
            <wp:extent cx="4297680" cy="3299460"/>
            <wp:effectExtent l="4445" t="5080" r="22225" b="10160"/>
            <wp:wrapTopAndBottom/>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3</w:t>
      </w:r>
      <w:r>
        <w:rPr>
          <w:rFonts w:hint="eastAsia" w:ascii="仿宋_GB2312" w:hAnsi="Times New Roman" w:eastAsia="仿宋_GB2312" w:cs="DengXian-Regular"/>
          <w:sz w:val="28"/>
          <w:szCs w:val="28"/>
        </w:rPr>
        <w:t>：财政拨款支出决算结构（按功能分类）</w:t>
      </w:r>
    </w:p>
    <w:p>
      <w:pPr>
        <w:adjustRightInd w:val="0"/>
        <w:snapToGrid w:val="0"/>
        <w:spacing w:line="580" w:lineRule="exact"/>
        <w:rPr>
          <w:rFonts w:ascii="仿宋_GB2312" w:hAnsi="Times New Roman" w:eastAsia="仿宋_GB2312" w:cs="DengXian-Regular"/>
          <w:sz w:val="32"/>
          <w:szCs w:val="32"/>
        </w:rPr>
      </w:pPr>
    </w:p>
    <w:p>
      <w:pPr>
        <w:keepNext/>
        <w:keepLines/>
        <w:snapToGrid w:val="0"/>
        <w:spacing w:line="580" w:lineRule="exact"/>
        <w:ind w:firstLine="420" w:firstLineChars="200"/>
        <w:outlineLvl w:val="1"/>
      </w:pPr>
      <w:r>
        <w:rPr>
          <w:rFonts w:hint="eastAsia"/>
          <w:lang w:val="en-US" w:eastAsia="zh-CN"/>
        </w:rPr>
        <w:t xml:space="preserve">           </w:t>
      </w:r>
    </w:p>
    <w:p>
      <w:pPr>
        <w:keepNext/>
        <w:keepLines/>
        <w:snapToGrid w:val="0"/>
        <w:spacing w:line="580" w:lineRule="exact"/>
        <w:ind w:firstLine="420" w:firstLineChars="200"/>
        <w:outlineLvl w:val="1"/>
        <w:rPr>
          <w:rFonts w:hint="eastAsia"/>
          <w:lang w:eastAsia="zh-CN"/>
        </w:rPr>
      </w:pPr>
    </w:p>
    <w:p>
      <w:pPr>
        <w:numPr>
          <w:ilvl w:val="0"/>
          <w:numId w:val="0"/>
        </w:numPr>
        <w:adjustRightInd w:val="0"/>
        <w:snapToGrid w:val="0"/>
        <w:spacing w:line="580" w:lineRule="exact"/>
        <w:ind w:leftChars="0" w:firstLine="643" w:firstLineChars="200"/>
        <w:rPr>
          <w:rFonts w:hint="eastAsia" w:ascii="楷体_GB2312" w:hAnsi="Times New Roman" w:eastAsia="楷体_GB2312" w:cs="DengXian-Bold"/>
          <w:b/>
          <w:bCs/>
          <w:sz w:val="32"/>
          <w:szCs w:val="32"/>
          <w:lang w:eastAsia="zh-CN"/>
        </w:rPr>
      </w:pPr>
    </w:p>
    <w:p>
      <w:pPr>
        <w:numPr>
          <w:ilvl w:val="0"/>
          <w:numId w:val="0"/>
        </w:numPr>
        <w:adjustRightInd w:val="0"/>
        <w:snapToGrid w:val="0"/>
        <w:spacing w:line="580" w:lineRule="exact"/>
        <w:ind w:firstLine="321" w:firstLineChars="1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lang w:eastAsia="zh-CN"/>
        </w:rPr>
        <w:t>（</w:t>
      </w:r>
      <w:r>
        <w:rPr>
          <w:rFonts w:hint="eastAsia" w:ascii="楷体_GB2312" w:hAnsi="Times New Roman" w:eastAsia="楷体_GB2312" w:cs="DengXian-Bold"/>
          <w:b/>
          <w:bCs/>
          <w:sz w:val="32"/>
          <w:szCs w:val="32"/>
          <w:lang w:val="en-US" w:eastAsia="zh-CN"/>
        </w:rPr>
        <w:t>三）</w:t>
      </w: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1109.54</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公共安全类（类）支出</w:t>
      </w:r>
      <w:r>
        <w:rPr>
          <w:rFonts w:hint="eastAsia" w:ascii="仿宋_GB2312" w:hAnsi="Times New Roman" w:eastAsia="仿宋_GB2312" w:cs="DengXian-Regular"/>
          <w:sz w:val="32"/>
          <w:szCs w:val="32"/>
          <w:lang w:val="en-US" w:eastAsia="zh-CN"/>
        </w:rPr>
        <w:t>911.89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82.19</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132.99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11.99</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40.6</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3.66</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卫生健康支出24.06万元，占 2.16%</w:t>
      </w:r>
      <w:r>
        <w:rPr>
          <w:rFonts w:hint="eastAsia" w:ascii="仿宋_GB2312" w:hAnsi="Times New Roman" w:eastAsia="仿宋_GB2312" w:cs="DengXian-Regular"/>
          <w:sz w:val="32"/>
          <w:szCs w:val="32"/>
        </w:rPr>
        <w:t>。</w:t>
      </w:r>
    </w:p>
    <w:p>
      <w:pPr>
        <w:jc w:val="center"/>
        <w:rPr>
          <w:rFonts w:ascii="仿宋_GB2312" w:hAnsi="Times New Roman" w:eastAsia="仿宋_GB2312" w:cs="DengXian-Regular"/>
          <w:sz w:val="32"/>
          <w:szCs w:val="32"/>
        </w:rPr>
      </w:pPr>
      <w:r>
        <w:drawing>
          <wp:inline distT="0" distB="0" distL="0" distR="0">
            <wp:extent cx="4572000" cy="2743200"/>
            <wp:effectExtent l="4445" t="4445" r="14605" b="14605"/>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rPr>
          <w:rFonts w:ascii="仿宋_GB2312" w:hAnsi="Times New Roman" w:eastAsia="仿宋_GB2312" w:cs="DengXian-Regular"/>
          <w:sz w:val="32"/>
          <w:szCs w:val="32"/>
        </w:rPr>
      </w:pPr>
      <w:r>
        <mc:AlternateContent>
          <mc:Choice Requires="wps">
            <w:drawing>
              <wp:anchor distT="0" distB="0" distL="114300" distR="114300" simplePos="0" relativeHeight="437426176" behindDoc="0" locked="0" layoutInCell="1" allowOverlap="1">
                <wp:simplePos x="0" y="0"/>
                <wp:positionH relativeFrom="column">
                  <wp:posOffset>975360</wp:posOffset>
                </wp:positionH>
                <wp:positionV relativeFrom="paragraph">
                  <wp:posOffset>6985</wp:posOffset>
                </wp:positionV>
                <wp:extent cx="3576320" cy="391795"/>
                <wp:effectExtent l="0" t="0" r="5080" b="8255"/>
                <wp:wrapNone/>
                <wp:docPr id="44" name="文本框 32"/>
                <wp:cNvGraphicFramePr/>
                <a:graphic xmlns:a="http://schemas.openxmlformats.org/drawingml/2006/main">
                  <a:graphicData uri="http://schemas.microsoft.com/office/word/2010/wordprocessingShape">
                    <wps:wsp>
                      <wps:cNvSpPr txBox="1"/>
                      <wps:spPr>
                        <a:xfrm>
                          <a:off x="0" y="0"/>
                          <a:ext cx="3576320" cy="39179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4</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26" o:spt="202" type="#_x0000_t202" style="position:absolute;left:0pt;margin-left:76.8pt;margin-top:0.55pt;height:30.85pt;width:281.6pt;z-index:437426176;mso-width-relative:page;mso-height-relative:page;" fillcolor="#FFFFFF" filled="t" stroked="f" coordsize="21600,21600" o:gfxdata="UEsDBAoAAAAAAIdO4kAAAAAAAAAAAAAAAAAEAAAAZHJzL1BLAwQUAAAACACHTuJAL4eVddMAAAAI&#10;AQAADwAAAGRycy9kb3ducmV2LnhtbE2PO0/EMBCEeyT+g7VIdJzjA8IpxLkCiRaJe9W+eIkj7HVk&#10;+56/nqWCbkczmv2mXZ6DF0dMeYykQc0qEEh9tCMNGjbr94cFiFwMWeMjoYYLZlh2tzetaWw80Sce&#10;V2UQXEK5MRpcKVMjZe4dBpNncUJi7yumYArLNEibzInLg5fzqqplMCPxB2cmfHPYf68OQcNuCNfd&#10;Vk3J2eCf6ON6WW/iqPX9napeQRQ8l78w/OIzOnTMtI8Hsll41s+PNUf5UCDYf1E1T9lrqOcLkF0r&#10;/w/ofgBQSwMEFAAAAAgAh07iQPL13VU5AgAAUQQAAA4AAABkcnMvZTJvRG9jLnhtbK1Uy67TMBDd&#10;I/EPlvc0fZdWTa9Kr4qQKu6VCmLtOk4TyfYY221SPgD+gBUb9nxXv4Oxk/aWxwqRhTOvnPGcmcn8&#10;rlaSHIV1JeiU9jpdSoTmkJV6n9L379YvXlLiPNMZk6BFSk/C0bvF82fzysxEHwqQmbAEQbSbVSal&#10;hfdmliSOF0Ix1wEjNDpzsIp5VO0+ySyrEF3JpN/tjpMKbGYscOEcWu8bJ11E/DwX3D/kuROeyJTi&#10;3Xw8bTx34UwWczbbW2aKkrfXYP9wC8VKjUmvUPfMM3Kw5R9QquQWHOS+w0ElkOclF7EGrKbX/a2a&#10;bcGMiLUgOc5caXL/D5a/PT5aUmYpHQ4p0Uxhj85fv5y//Th//0wG/UBQZdwM47YGI339Cmps9MXu&#10;0BjqrnOrwhsrIuhHqk9XekXtCUfjYDQZD/ro4ugbTHuT6SjAJE9fG+v8awGKBCGlFtsXWWXHjfNN&#10;6CUkJHMgy2xdShkVu9+tpCVHhq1ex6dF/yVMalKldDwYdSOyhvB9Ay11wBFxatp8ofSmxCD5ele3&#10;fOwgOyEdFpqJcoavS7zzhjn/yCyOEJaJa+Ef8MglYEpoJUoKsJ/+Zg/x2Fn0UlLhSKbUfTwwKyiR&#10;bzT2fNobDsMMR2U4mgQq7a1nd+vRB7UCpKKHC2h4FEO8lxcxt6A+4PYsQ1Z0Mc0xd0r9RVz5ZlFw&#10;+7hYLmMQTq1hfqO3hgfoQJiG5cFDXsYGBZoabrCxQcG5jS1udywsxq0eo57+BI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4eVddMAAAAIAQAADwAAAAAAAAABACAAAAAiAAAAZHJzL2Rvd25yZXYu&#10;eG1sUEsBAhQAFAAAAAgAh07iQPL13VU5AgAAUQQAAA4AAAAAAAAAAQAgAAAAIgEAAGRycy9lMm9E&#10;b2MueG1sUEsFBgAAAAAGAAYAWQEAAM0FA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4</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cs="Times New Roman"/>
                          <w:sz w:val="20"/>
                        </w:rPr>
                      </w:pPr>
                    </w:p>
                  </w:txbxContent>
                </v:textbox>
              </v:shape>
            </w:pict>
          </mc:Fallback>
        </mc:AlternateContent>
      </w:r>
    </w:p>
    <w:p>
      <w:pPr>
        <w:rPr>
          <w:rFonts w:ascii="仿宋_GB2312" w:hAnsi="Times New Roman" w:eastAsia="仿宋_GB2312" w:cs="DengXian-Regular"/>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firstLine="321" w:firstLineChars="100"/>
        <w:rPr>
          <w:rFonts w:hint="eastAsia" w:ascii="楷体_GB2312" w:hAnsi="Times New Roman" w:eastAsia="楷体_GB2312" w:cs="DengXian-Bold"/>
          <w:b/>
          <w:bCs/>
          <w:sz w:val="32"/>
          <w:szCs w:val="32"/>
        </w:rPr>
      </w:pPr>
    </w:p>
    <w:p>
      <w:pPr>
        <w:adjustRightInd w:val="0"/>
        <w:snapToGrid w:val="0"/>
        <w:spacing w:line="580" w:lineRule="exact"/>
        <w:ind w:firstLine="321" w:firstLineChars="100"/>
        <w:rPr>
          <w:rFonts w:hint="eastAsia" w:ascii="楷体_GB2312" w:hAnsi="Times New Roman" w:eastAsia="楷体_GB2312" w:cs="DengXian-Bold"/>
          <w:b/>
          <w:bCs/>
          <w:sz w:val="32"/>
          <w:szCs w:val="32"/>
        </w:rPr>
      </w:pPr>
    </w:p>
    <w:p>
      <w:pPr>
        <w:adjustRightInd w:val="0"/>
        <w:snapToGrid w:val="0"/>
        <w:spacing w:line="580" w:lineRule="exact"/>
        <w:ind w:firstLine="321" w:firstLineChars="100"/>
        <w:rPr>
          <w:rFonts w:hint="eastAsia" w:ascii="楷体_GB2312" w:hAnsi="Times New Roman" w:eastAsia="楷体_GB2312" w:cs="DengXian-Bold"/>
          <w:b/>
          <w:bCs/>
          <w:sz w:val="32"/>
          <w:szCs w:val="32"/>
        </w:rPr>
      </w:pPr>
    </w:p>
    <w:p>
      <w:pPr>
        <w:adjustRightInd w:val="0"/>
        <w:snapToGrid w:val="0"/>
        <w:spacing w:line="580" w:lineRule="exact"/>
        <w:ind w:firstLine="321" w:firstLineChars="100"/>
        <w:rPr>
          <w:rFonts w:hint="eastAsia" w:ascii="楷体_GB2312" w:hAnsi="Times New Roman" w:eastAsia="楷体_GB2312" w:cs="DengXian-Bold"/>
          <w:b/>
          <w:bCs/>
          <w:sz w:val="32"/>
          <w:szCs w:val="32"/>
        </w:rPr>
      </w:pPr>
    </w:p>
    <w:p>
      <w:pPr>
        <w:adjustRightInd w:val="0"/>
        <w:snapToGrid w:val="0"/>
        <w:spacing w:line="580" w:lineRule="exact"/>
        <w:ind w:firstLine="321" w:firstLineChars="100"/>
        <w:rPr>
          <w:rFonts w:hint="eastAsia" w:ascii="楷体_GB2312" w:hAnsi="Times New Roman" w:eastAsia="楷体_GB2312" w:cs="DengXian-Bold"/>
          <w:b/>
          <w:bCs/>
          <w:sz w:val="32"/>
          <w:szCs w:val="32"/>
        </w:rPr>
      </w:pPr>
    </w:p>
    <w:p>
      <w:pPr>
        <w:adjustRightInd w:val="0"/>
        <w:snapToGrid w:val="0"/>
        <w:spacing w:line="580" w:lineRule="exact"/>
        <w:ind w:firstLine="321" w:firstLineChars="100"/>
        <w:rPr>
          <w:rFonts w:hint="eastAsia" w:ascii="楷体_GB2312" w:hAnsi="Times New Roman" w:eastAsia="楷体_GB2312" w:cs="DengXian-Bold"/>
          <w:b/>
          <w:bCs/>
          <w:sz w:val="32"/>
          <w:szCs w:val="32"/>
        </w:rPr>
      </w:pP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959.11</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865.8</w:t>
      </w:r>
      <w:r>
        <w:rPr>
          <w:rFonts w:hint="eastAsia" w:ascii="仿宋_GB2312" w:hAnsi="Times New Roman" w:eastAsia="仿宋_GB2312" w:cs="DengXian-Regular"/>
          <w:sz w:val="32"/>
          <w:szCs w:val="32"/>
        </w:rPr>
        <w:t xml:space="preserve">万元，主要包括基本工资、津贴补贴、奖金、绩效工资、机关事业单位基本养老保险缴费、职工基本医疗保险缴费、住房公积金、其他社会保障缴费、其他工资福利支出、退休费、生活补助、医疗费补助、其他对个人和家庭的补助支出；公用经费 </w:t>
      </w:r>
      <w:r>
        <w:rPr>
          <w:rFonts w:hint="eastAsia" w:ascii="仿宋_GB2312" w:hAnsi="Times New Roman" w:eastAsia="仿宋_GB2312" w:cs="DengXian-Regular"/>
          <w:sz w:val="32"/>
          <w:szCs w:val="32"/>
          <w:lang w:val="en-US" w:eastAsia="zh-CN"/>
        </w:rPr>
        <w:t>93.31</w:t>
      </w:r>
      <w:r>
        <w:rPr>
          <w:rFonts w:hint="eastAsia" w:ascii="仿宋_GB2312" w:hAnsi="Times New Roman" w:eastAsia="仿宋_GB2312" w:cs="DengXian-Regular"/>
          <w:sz w:val="32"/>
          <w:szCs w:val="32"/>
        </w:rPr>
        <w:t>万元，主要包括办公费、印刷费、水费、邮电费、取暖费、差旅费、维修（护）费、劳务费、工会经费、福利费、公务用车运行维护费、其他交通费用。</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yellow"/>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bookmarkStart w:id="0" w:name="_GoBack"/>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13.94</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97.28</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0.39</w:t>
      </w:r>
      <w:r>
        <w:rPr>
          <w:rFonts w:hint="eastAsia" w:ascii="仿宋_GB2312" w:hAnsi="Times New Roman" w:eastAsia="仿宋_GB2312" w:cs="DengXian-Regular"/>
          <w:sz w:val="32"/>
          <w:szCs w:val="32"/>
        </w:rPr>
        <w:t>万是元，降低</w:t>
      </w:r>
      <w:r>
        <w:rPr>
          <w:rFonts w:hint="eastAsia" w:ascii="仿宋_GB2312" w:hAnsi="Times New Roman" w:eastAsia="仿宋_GB2312" w:cs="DengXian-Regular"/>
          <w:sz w:val="32"/>
          <w:szCs w:val="32"/>
          <w:lang w:val="en-US" w:eastAsia="zh-CN"/>
        </w:rPr>
        <w:t>2.72</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val="en-US" w:eastAsia="zh-CN"/>
        </w:rPr>
        <w:t>减少了车辆运维费</w:t>
      </w:r>
      <w:r>
        <w:rPr>
          <w:rFonts w:hint="eastAsia" w:ascii="仿宋_GB2312" w:hAnsi="Times New Roman" w:eastAsia="仿宋_GB2312" w:cs="DengXian-Regular"/>
          <w:sz w:val="32"/>
          <w:szCs w:val="32"/>
        </w:rPr>
        <w:t>；较2018年度</w:t>
      </w:r>
      <w:r>
        <w:rPr>
          <w:rFonts w:hint="eastAsia" w:ascii="仿宋_GB2312" w:hAnsi="Times New Roman" w:eastAsia="仿宋_GB2312" w:cs="DengXian-Regular"/>
          <w:sz w:val="32"/>
          <w:szCs w:val="32"/>
          <w:lang w:val="en-US" w:eastAsia="zh-CN"/>
        </w:rPr>
        <w:t>持平，无增减变化</w:t>
      </w:r>
      <w:bookmarkEnd w:id="0"/>
      <w:r>
        <w:rPr>
          <w:rFonts w:hint="eastAsia" w:ascii="仿宋_GB2312" w:hAnsi="Times New Roman" w:eastAsia="仿宋_GB2312" w:cs="DengXian-Regular"/>
          <w:sz w:val="32"/>
          <w:szCs w:val="32"/>
        </w:rPr>
        <w:t>。具体情况如下：</w:t>
      </w:r>
    </w:p>
    <w:p>
      <w:pPr>
        <w:adjustRightInd w:val="0"/>
        <w:snapToGrid w:val="0"/>
        <w:spacing w:after="0" w:line="600" w:lineRule="exact"/>
        <w:ind w:firstLine="643"/>
        <w:rPr>
          <w:rFonts w:ascii="仿宋" w:hAnsi="仿宋" w:eastAsia="仿宋"/>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年度无因公出国（境）经费支出，较年初预算无增减变化；较201</w:t>
      </w:r>
      <w:r>
        <w:rPr>
          <w:rFonts w:hint="eastAsia" w:ascii="仿宋" w:hAnsi="仿宋" w:eastAsia="仿宋"/>
          <w:sz w:val="32"/>
          <w:szCs w:val="32"/>
          <w:lang w:val="en-US" w:eastAsia="zh-CN"/>
        </w:rPr>
        <w:t>8</w:t>
      </w:r>
      <w:r>
        <w:rPr>
          <w:rFonts w:ascii="仿宋" w:hAnsi="仿宋" w:eastAsia="仿宋"/>
          <w:sz w:val="32"/>
          <w:szCs w:val="32"/>
        </w:rPr>
        <w:t>年度决算无增减变化。</w:t>
      </w:r>
    </w:p>
    <w:p>
      <w:pPr>
        <w:adjustRightInd w:val="0"/>
        <w:snapToGrid w:val="0"/>
        <w:spacing w:line="580" w:lineRule="exact"/>
        <w:ind w:firstLine="643" w:firstLineChars="200"/>
        <w:rPr>
          <w:rFonts w:ascii="仿宋" w:hAnsi="仿宋" w:eastAsia="仿宋"/>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13.94</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0.39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2.72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减少了车辆运维费</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0.39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2.72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减少了车辆运维费</w:t>
      </w:r>
      <w:r>
        <w:rPr>
          <w:rFonts w:hint="eastAsia" w:ascii="仿宋_GB2312" w:hAnsi="Times New Roman" w:eastAsia="仿宋_GB2312" w:cs="DengXian-Regular"/>
          <w:sz w:val="32"/>
          <w:szCs w:val="32"/>
        </w:rPr>
        <w:t>。</w:t>
      </w:r>
      <w:r>
        <w:rPr>
          <w:rFonts w:hint="eastAsia" w:ascii="仿宋_GB2312" w:hAnsi="Times New Roman" w:eastAsia="仿宋_GB2312" w:cs="DengXian-Bold"/>
          <w:b w:val="0"/>
          <w:bCs w:val="0"/>
          <w:sz w:val="32"/>
          <w:szCs w:val="32"/>
        </w:rPr>
        <w:t>其中：</w:t>
      </w:r>
      <w:r>
        <w:rPr>
          <w:rFonts w:ascii="仿宋" w:hAnsi="仿宋" w:eastAsia="仿宋"/>
          <w:b w:val="0"/>
          <w:bCs w:val="0"/>
          <w:sz w:val="32"/>
          <w:szCs w:val="32"/>
        </w:rPr>
        <w:t>公务用车购置费支出</w:t>
      </w:r>
      <w:r>
        <w:rPr>
          <w:rFonts w:hint="eastAsia" w:ascii="仿宋" w:hAnsi="仿宋" w:eastAsia="仿宋"/>
          <w:b w:val="0"/>
          <w:bCs w:val="0"/>
          <w:sz w:val="32"/>
          <w:szCs w:val="32"/>
        </w:rPr>
        <w:t>0</w:t>
      </w:r>
      <w:r>
        <w:rPr>
          <w:rFonts w:ascii="仿宋" w:hAnsi="仿宋" w:eastAsia="仿宋"/>
          <w:b w:val="0"/>
          <w:bCs w:val="0"/>
          <w:sz w:val="32"/>
          <w:szCs w:val="32"/>
        </w:rPr>
        <w:t>万元。</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年度无公务用车购置费支出，公务用车购置费支出较年初预算无增</w:t>
      </w:r>
      <w:r>
        <w:rPr>
          <w:rFonts w:hint="eastAsia" w:ascii="仿宋" w:hAnsi="仿宋" w:eastAsia="仿宋"/>
          <w:sz w:val="32"/>
          <w:szCs w:val="32"/>
        </w:rPr>
        <w:t>减</w:t>
      </w:r>
      <w:r>
        <w:rPr>
          <w:rFonts w:ascii="仿宋" w:hAnsi="仿宋" w:eastAsia="仿宋"/>
          <w:sz w:val="32"/>
          <w:szCs w:val="32"/>
        </w:rPr>
        <w:t>变化；较201</w:t>
      </w:r>
      <w:r>
        <w:rPr>
          <w:rFonts w:hint="eastAsia" w:ascii="仿宋" w:hAnsi="仿宋" w:eastAsia="仿宋"/>
          <w:sz w:val="32"/>
          <w:szCs w:val="32"/>
          <w:lang w:val="en-US" w:eastAsia="zh-CN"/>
        </w:rPr>
        <w:t>8</w:t>
      </w:r>
      <w:r>
        <w:rPr>
          <w:rFonts w:ascii="仿宋" w:hAnsi="仿宋" w:eastAsia="仿宋"/>
          <w:sz w:val="32"/>
          <w:szCs w:val="32"/>
        </w:rPr>
        <w:t>年度决算无增</w:t>
      </w:r>
      <w:r>
        <w:rPr>
          <w:rFonts w:hint="eastAsia" w:ascii="仿宋" w:hAnsi="仿宋" w:eastAsia="仿宋"/>
          <w:sz w:val="32"/>
          <w:szCs w:val="32"/>
        </w:rPr>
        <w:t>减</w:t>
      </w:r>
      <w:r>
        <w:rPr>
          <w:rFonts w:ascii="仿宋" w:hAnsi="仿宋" w:eastAsia="仿宋"/>
          <w:sz w:val="32"/>
          <w:szCs w:val="32"/>
        </w:rPr>
        <w:t>变化。</w:t>
      </w:r>
    </w:p>
    <w:p>
      <w:pPr>
        <w:adjustRightInd w:val="0"/>
        <w:snapToGrid w:val="0"/>
        <w:spacing w:after="0" w:line="600" w:lineRule="exact"/>
        <w:ind w:firstLine="643"/>
        <w:rPr>
          <w:rFonts w:hint="default" w:ascii="仿宋" w:hAnsi="仿宋" w:eastAsia="仿宋"/>
          <w:sz w:val="32"/>
          <w:szCs w:val="32"/>
          <w:lang w:val="en-US" w:eastAsia="zh-CN"/>
        </w:rPr>
      </w:pPr>
      <w:r>
        <w:rPr>
          <w:rFonts w:ascii="仿宋" w:hAnsi="仿宋" w:eastAsia="仿宋"/>
          <w:b/>
          <w:sz w:val="32"/>
          <w:szCs w:val="32"/>
        </w:rPr>
        <w:t>公务用车运行维护费支出</w:t>
      </w:r>
      <w:r>
        <w:rPr>
          <w:rFonts w:hint="eastAsia" w:ascii="仿宋" w:hAnsi="仿宋" w:eastAsia="仿宋"/>
          <w:b/>
          <w:sz w:val="32"/>
          <w:szCs w:val="32"/>
        </w:rPr>
        <w:t>1</w:t>
      </w:r>
      <w:r>
        <w:rPr>
          <w:rFonts w:hint="eastAsia" w:ascii="仿宋" w:hAnsi="仿宋" w:eastAsia="仿宋"/>
          <w:b/>
          <w:sz w:val="32"/>
          <w:szCs w:val="32"/>
          <w:lang w:val="en-US" w:eastAsia="zh-CN"/>
        </w:rPr>
        <w:t>3.94</w:t>
      </w:r>
      <w:r>
        <w:rPr>
          <w:rFonts w:ascii="仿宋" w:hAnsi="仿宋" w:eastAsia="仿宋"/>
          <w:b/>
          <w:sz w:val="32"/>
          <w:szCs w:val="32"/>
        </w:rPr>
        <w:t>万元。</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年末单位公务用车保有量</w:t>
      </w:r>
      <w:r>
        <w:rPr>
          <w:rFonts w:hint="eastAsia" w:ascii="仿宋" w:hAnsi="仿宋" w:eastAsia="仿宋"/>
          <w:sz w:val="32"/>
          <w:szCs w:val="32"/>
        </w:rPr>
        <w:t>2</w:t>
      </w:r>
      <w:r>
        <w:rPr>
          <w:rFonts w:ascii="仿宋" w:hAnsi="仿宋" w:eastAsia="仿宋"/>
          <w:sz w:val="32"/>
          <w:szCs w:val="32"/>
        </w:rPr>
        <w:t>辆。公车运行维护费支出</w:t>
      </w:r>
      <w:r>
        <w:rPr>
          <w:rFonts w:hint="eastAsia" w:ascii="仿宋" w:hAnsi="仿宋" w:eastAsia="仿宋"/>
          <w:sz w:val="32"/>
          <w:szCs w:val="32"/>
        </w:rPr>
        <w:t>与</w:t>
      </w:r>
      <w:r>
        <w:rPr>
          <w:rFonts w:ascii="仿宋" w:hAnsi="仿宋" w:eastAsia="仿宋"/>
          <w:sz w:val="32"/>
          <w:szCs w:val="32"/>
        </w:rPr>
        <w:t>年初预算</w:t>
      </w:r>
      <w:r>
        <w:rPr>
          <w:rFonts w:hint="eastAsia" w:ascii="仿宋" w:hAnsi="仿宋" w:eastAsia="仿宋"/>
          <w:sz w:val="32"/>
          <w:szCs w:val="32"/>
          <w:lang w:val="en-US" w:eastAsia="zh-CN"/>
        </w:rPr>
        <w:t>减少0.39万元，</w:t>
      </w:r>
      <w:r>
        <w:rPr>
          <w:rFonts w:hint="eastAsia" w:ascii="仿宋_GB2312" w:hAnsi="Times New Roman" w:eastAsia="仿宋_GB2312" w:cs="DengXian-Regular"/>
          <w:sz w:val="32"/>
          <w:szCs w:val="32"/>
        </w:rPr>
        <w:t>降低</w:t>
      </w:r>
      <w:r>
        <w:rPr>
          <w:rFonts w:hint="eastAsia" w:ascii="仿宋_GB2312" w:hAnsi="Times New Roman" w:eastAsia="仿宋_GB2312" w:cs="DengXian-Regular"/>
          <w:sz w:val="32"/>
          <w:szCs w:val="32"/>
          <w:lang w:val="en-US" w:eastAsia="zh-CN"/>
        </w:rPr>
        <w:t>2.72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减少了车辆运维费。公务运行维护费支出与上年对比减少了0.39万元，降低了2.72%，主要是减少了车辆运维费。</w:t>
      </w:r>
    </w:p>
    <w:p>
      <w:pPr>
        <w:adjustRightInd w:val="0"/>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公务接待</w:t>
      </w:r>
      <w:r>
        <w:rPr>
          <w:rFonts w:hint="eastAsia" w:ascii="仿宋_GB2312" w:hAnsi="Times New Roman" w:eastAsia="仿宋_GB2312" w:cs="DengXian-Regular"/>
          <w:sz w:val="32"/>
          <w:szCs w:val="32"/>
          <w:lang w:val="en-US" w:eastAsia="zh-CN"/>
        </w:rPr>
        <w:t>支出，与上年持平，无增减变化。</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预算绩效管理工作开展情况。</w:t>
      </w:r>
    </w:p>
    <w:p>
      <w:pPr>
        <w:widowControl/>
        <w:spacing w:after="0"/>
        <w:ind w:firstLine="641"/>
        <w:jc w:val="left"/>
        <w:rPr>
          <w:rFonts w:ascii="仿宋" w:hAnsi="仿宋" w:eastAsia="仿宋" w:cs="仿宋"/>
          <w:bCs/>
          <w:sz w:val="32"/>
          <w:szCs w:val="32"/>
        </w:rPr>
      </w:pPr>
      <w:r>
        <w:rPr>
          <w:rFonts w:hint="eastAsia" w:ascii="仿宋" w:hAnsi="仿宋" w:eastAsia="仿宋" w:cs="DengXian-Regular"/>
          <w:sz w:val="32"/>
          <w:szCs w:val="32"/>
        </w:rPr>
        <w:t>201</w:t>
      </w:r>
      <w:r>
        <w:rPr>
          <w:rFonts w:hint="eastAsia" w:ascii="仿宋" w:hAnsi="仿宋" w:eastAsia="仿宋" w:cs="DengXian-Regular"/>
          <w:sz w:val="32"/>
          <w:szCs w:val="32"/>
          <w:lang w:val="en-US" w:eastAsia="zh-CN"/>
        </w:rPr>
        <w:t>9</w:t>
      </w:r>
      <w:r>
        <w:rPr>
          <w:rFonts w:hint="eastAsia" w:ascii="仿宋" w:hAnsi="仿宋" w:eastAsia="仿宋" w:cs="DengXian-Regular"/>
          <w:sz w:val="32"/>
          <w:szCs w:val="32"/>
        </w:rPr>
        <w:t>年度县</w:t>
      </w:r>
      <w:r>
        <w:rPr>
          <w:rFonts w:hint="eastAsia" w:ascii="仿宋" w:hAnsi="仿宋" w:eastAsia="仿宋" w:cs="宋体"/>
          <w:sz w:val="32"/>
          <w:szCs w:val="32"/>
        </w:rPr>
        <w:t>司</w:t>
      </w:r>
      <w:r>
        <w:rPr>
          <w:rFonts w:hint="eastAsia" w:ascii="仿宋" w:hAnsi="仿宋" w:eastAsia="仿宋" w:cs="___WRD_EMBED_SUB_39"/>
          <w:sz w:val="32"/>
          <w:szCs w:val="32"/>
        </w:rPr>
        <w:t>法</w:t>
      </w:r>
      <w:r>
        <w:rPr>
          <w:rFonts w:hint="eastAsia" w:ascii="仿宋" w:hAnsi="仿宋" w:eastAsia="仿宋" w:cs="宋体"/>
          <w:sz w:val="32"/>
          <w:szCs w:val="32"/>
        </w:rPr>
        <w:t>局</w:t>
      </w:r>
      <w:r>
        <w:rPr>
          <w:rFonts w:hint="eastAsia" w:ascii="仿宋" w:hAnsi="仿宋" w:eastAsia="仿宋" w:cs="仿宋"/>
          <w:bCs/>
          <w:kern w:val="0"/>
          <w:sz w:val="32"/>
          <w:szCs w:val="32"/>
        </w:rPr>
        <w:t>认真按照《河北省预算绩效管理办法（试行）》、《河北省财政支出绩效评价管理办法》等制度规定，严格评价标准，准确把握绩效评价的内容与方法，确保评价质量。为了提高财政资金使用效益和效率，实现财政资金的规范性、安全性和有效性，按照《河北省人民政府关于深化推进预算绩效管理的意见》遵循“客观公正、公开透明”的原则，积极开展工作。</w:t>
      </w:r>
    </w:p>
    <w:p>
      <w:pPr>
        <w:widowControl/>
        <w:spacing w:after="0"/>
        <w:ind w:firstLine="641"/>
        <w:jc w:val="left"/>
        <w:rPr>
          <w:rFonts w:hint="eastAsia" w:ascii="仿宋" w:hAnsi="仿宋" w:eastAsia="仿宋" w:cs="仿宋"/>
          <w:bCs/>
          <w:kern w:val="0"/>
          <w:sz w:val="32"/>
          <w:szCs w:val="32"/>
        </w:rPr>
      </w:pPr>
      <w:r>
        <w:rPr>
          <w:rFonts w:hint="eastAsia" w:ascii="仿宋" w:hAnsi="仿宋" w:eastAsia="仿宋" w:cs="仿宋"/>
          <w:bCs/>
          <w:kern w:val="0"/>
          <w:sz w:val="32"/>
          <w:szCs w:val="32"/>
        </w:rPr>
        <w:t>一是制定绩效管理自评方案，进一步明确了评价工作的指导思想、方法步骤，细化了应达到的绩效目标和相应的绩效指标，完善了绩效评价工作体系。二是按照经济性、效率性、有效性的原则，定量分析与定性分析相结合的原则，真实性、科学性、规范性的原则，对重点项目制定绩效评价实施方案和绩效指标评价体系。</w:t>
      </w:r>
    </w:p>
    <w:p>
      <w:pPr>
        <w:adjustRightInd w:val="0"/>
        <w:snapToGrid w:val="0"/>
        <w:spacing w:after="0" w:line="580" w:lineRule="exact"/>
        <w:ind w:firstLine="641"/>
        <w:rPr>
          <w:rFonts w:hint="eastAsia" w:ascii="仿宋" w:hAnsi="仿宋" w:eastAsia="仿宋" w:cs="仿宋"/>
          <w:b/>
          <w:bCs/>
          <w:sz w:val="32"/>
          <w:szCs w:val="32"/>
        </w:rPr>
      </w:pPr>
      <w:r>
        <w:rPr>
          <w:rFonts w:hint="eastAsia" w:ascii="仿宋" w:hAnsi="仿宋" w:eastAsia="仿宋" w:cs="仿宋"/>
          <w:b/>
          <w:bCs/>
          <w:sz w:val="32"/>
          <w:szCs w:val="32"/>
        </w:rPr>
        <w:t>项目绩效自评结果。</w:t>
      </w:r>
    </w:p>
    <w:p>
      <w:pPr>
        <w:adjustRightInd w:val="0"/>
        <w:snapToGrid w:val="0"/>
        <w:spacing w:after="0" w:line="580" w:lineRule="exact"/>
        <w:ind w:firstLine="641"/>
        <w:rPr>
          <w:rFonts w:ascii="仿宋_GB2312" w:eastAsia="仿宋_GB2312" w:cs="DengXian-Regular"/>
          <w:sz w:val="32"/>
          <w:szCs w:val="32"/>
        </w:rPr>
      </w:pPr>
      <w:r>
        <w:rPr>
          <w:rFonts w:hint="eastAsia" w:ascii="仿宋" w:hAnsi="仿宋" w:eastAsia="仿宋" w:cs="仿宋"/>
          <w:bCs/>
          <w:kern w:val="0"/>
          <w:sz w:val="32"/>
          <w:szCs w:val="32"/>
        </w:rPr>
        <w:t>通过开展201</w:t>
      </w:r>
      <w:r>
        <w:rPr>
          <w:rFonts w:hint="eastAsia" w:ascii="仿宋" w:hAnsi="仿宋" w:eastAsia="仿宋" w:cs="仿宋"/>
          <w:bCs/>
          <w:kern w:val="0"/>
          <w:sz w:val="32"/>
          <w:szCs w:val="32"/>
          <w:lang w:val="en-US" w:eastAsia="zh-CN"/>
        </w:rPr>
        <w:t>9</w:t>
      </w:r>
      <w:r>
        <w:rPr>
          <w:rFonts w:hint="eastAsia" w:ascii="仿宋" w:hAnsi="仿宋" w:eastAsia="仿宋" w:cs="仿宋"/>
          <w:bCs/>
          <w:kern w:val="0"/>
          <w:sz w:val="32"/>
          <w:szCs w:val="32"/>
        </w:rPr>
        <w:t>年专项项目绩效评价，我部门社会效益良好，绩效综合评价等级“优”。</w:t>
      </w:r>
    </w:p>
    <w:p>
      <w:pPr>
        <w:widowControl/>
        <w:spacing w:after="0"/>
        <w:ind w:firstLine="641"/>
        <w:jc w:val="left"/>
        <w:rPr>
          <w:rFonts w:hint="eastAsia" w:ascii="仿宋" w:hAnsi="仿宋" w:eastAsia="仿宋" w:cs="仿宋"/>
          <w:b/>
          <w:bCs/>
          <w:sz w:val="32"/>
          <w:szCs w:val="32"/>
        </w:rPr>
      </w:pPr>
      <w:r>
        <w:rPr>
          <w:rFonts w:hint="eastAsia" w:ascii="仿宋" w:hAnsi="仿宋" w:eastAsia="仿宋" w:cs="仿宋"/>
          <w:b/>
          <w:bCs/>
          <w:sz w:val="32"/>
          <w:szCs w:val="32"/>
        </w:rPr>
        <w:t>重点项目绩效评价结果。</w:t>
      </w:r>
    </w:p>
    <w:p>
      <w:pPr>
        <w:widowControl/>
        <w:spacing w:after="0"/>
        <w:ind w:firstLine="641"/>
        <w:jc w:val="left"/>
        <w:rPr>
          <w:rFonts w:hint="eastAsia" w:ascii="仿宋" w:hAnsi="仿宋" w:eastAsia="仿宋" w:cs="仿宋"/>
          <w:bCs/>
          <w:kern w:val="0"/>
          <w:sz w:val="32"/>
          <w:szCs w:val="32"/>
        </w:rPr>
      </w:pPr>
      <w:r>
        <w:rPr>
          <w:rFonts w:hint="eastAsia" w:ascii="仿宋" w:hAnsi="仿宋" w:eastAsia="仿宋" w:cs="仿宋"/>
          <w:bCs/>
          <w:kern w:val="0"/>
          <w:sz w:val="32"/>
          <w:szCs w:val="32"/>
        </w:rPr>
        <w:t>通过绩效评价，促进了项目管理水平的提高，进一步完善了规章制度；明确了各项目绩效目标，合理设置内容全面、可操作性强的绩效评价指标，达到了绩效考核的目的。</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93.31</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10.06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9.73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本着厉行节俭的原则，压减了办公支出</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比年初预算减少7.91万元，降低7.81%，主要原因是本着厉行节俭的原则，压减了办公支出。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与上年持平，没有增减变化</w:t>
      </w:r>
      <w:r>
        <w:rPr>
          <w:rFonts w:hint="eastAsia" w:ascii="仿宋_GB2312" w:hAnsi="Times New Roman" w:eastAsia="仿宋_GB2312" w:cs="DengXian-Regular"/>
          <w:sz w:val="32"/>
          <w:szCs w:val="32"/>
        </w:rPr>
        <w:t>。其中，</w:t>
      </w:r>
      <w:r>
        <w:rPr>
          <w:rFonts w:hint="eastAsia" w:ascii="仿宋_GB2312" w:hAnsi="Times New Roman" w:eastAsia="仿宋_GB2312" w:cs="DengXian-Regular"/>
          <w:sz w:val="32"/>
          <w:szCs w:val="32"/>
          <w:lang w:val="en-US" w:eastAsia="zh-CN"/>
        </w:rPr>
        <w:t>公务用车2</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持平，无增减变化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与上年持平，无增减变化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after="0" w:line="600" w:lineRule="exact"/>
        <w:ind w:firstLine="640" w:firstLineChars="200"/>
        <w:rPr>
          <w:rFonts w:ascii="仿宋" w:hAnsi="仿宋" w:eastAsia="仿宋" w:cs="DengXian-Regular"/>
          <w:sz w:val="32"/>
          <w:szCs w:val="32"/>
        </w:rPr>
      </w:pPr>
      <w:r>
        <w:rPr>
          <w:rFonts w:ascii="仿宋" w:hAnsi="仿宋" w:eastAsia="仿宋" w:cs="DengXian-Regular"/>
          <w:sz w:val="32"/>
          <w:szCs w:val="32"/>
        </w:rPr>
        <w:t>1</w:t>
      </w:r>
      <w:r>
        <w:rPr>
          <w:rFonts w:hint="eastAsia" w:ascii="仿宋" w:hAnsi="仿宋" w:eastAsia="仿宋" w:cs="DengXian-Regular"/>
          <w:sz w:val="32"/>
          <w:szCs w:val="32"/>
        </w:rPr>
        <w:t>、本部门</w:t>
      </w:r>
      <w:r>
        <w:rPr>
          <w:rFonts w:ascii="仿宋" w:hAnsi="仿宋" w:eastAsia="仿宋" w:cs="DengXian-Regular"/>
          <w:sz w:val="32"/>
          <w:szCs w:val="32"/>
        </w:rPr>
        <w:t>201</w:t>
      </w:r>
      <w:r>
        <w:rPr>
          <w:rFonts w:hint="eastAsia" w:ascii="仿宋" w:hAnsi="仿宋" w:eastAsia="仿宋" w:cs="DengXian-Regular"/>
          <w:sz w:val="32"/>
          <w:szCs w:val="32"/>
          <w:lang w:val="en-US" w:eastAsia="zh-CN"/>
        </w:rPr>
        <w:t>9</w:t>
      </w:r>
      <w:r>
        <w:rPr>
          <w:rFonts w:hint="eastAsia" w:ascii="仿宋" w:hAnsi="仿宋" w:eastAsia="仿宋" w:cs="DengXian-Regular"/>
          <w:sz w:val="32"/>
          <w:szCs w:val="32"/>
        </w:rPr>
        <w:t>年度无政府性基金预算财政拨款收入、支出及结转和结余；本年度无国有资本经营预算财政拨款支出及结转和结余。故政府性基金预算财政拨款收入支出决算表；国有资本经营预算财政拨款支出决算表以空表列示。</w:t>
      </w:r>
    </w:p>
    <w:p>
      <w:pPr>
        <w:adjustRightInd w:val="0"/>
        <w:snapToGrid w:val="0"/>
        <w:spacing w:after="0" w:line="600" w:lineRule="exact"/>
        <w:ind w:firstLine="640"/>
        <w:rPr>
          <w:rFonts w:ascii="仿宋" w:hAnsi="仿宋" w:eastAsia="仿宋"/>
          <w:sz w:val="32"/>
          <w:szCs w:val="32"/>
        </w:rPr>
      </w:pPr>
      <w:r>
        <w:rPr>
          <w:rFonts w:ascii="仿宋" w:hAnsi="仿宋" w:eastAsia="仿宋"/>
          <w:sz w:val="32"/>
          <w:szCs w:val="32"/>
        </w:rPr>
        <w:t>2、由于决算公开表格中金额数值应当保留两位小数，公开数据为四舍五入计算结果，个别数据合计项与分项之和存在小数点后差额，特此说明。</w:t>
      </w:r>
    </w:p>
    <w:p>
      <w:pPr>
        <w:keepNext/>
        <w:keepLines/>
        <w:snapToGrid w:val="0"/>
        <w:spacing w:line="580" w:lineRule="exact"/>
        <w:outlineLvl w:val="1"/>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both"/>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jc w:val="left"/>
      </w:pPr>
    </w:p>
    <w:tbl>
      <w:tblPr>
        <w:tblStyle w:val="6"/>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236"/>
        <w:gridCol w:w="466"/>
        <w:gridCol w:w="956"/>
        <w:gridCol w:w="3474"/>
        <w:gridCol w:w="475"/>
        <w:gridCol w:w="910"/>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部门：廊坊市香河县司法局（本级）</w:t>
            </w:r>
          </w:p>
        </w:tc>
        <w:tc>
          <w:tcPr>
            <w:tcW w:w="4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1,181.11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911.89</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1,181.11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1,109.54</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19.22</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90.79</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1,200.33</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1,200.33</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9794" w:type="dxa"/>
        <w:jc w:val="center"/>
        <w:tblInd w:w="0" w:type="dxa"/>
        <w:tblLayout w:type="fixed"/>
        <w:tblCellMar>
          <w:top w:w="0" w:type="dxa"/>
          <w:left w:w="0" w:type="dxa"/>
          <w:bottom w:w="0" w:type="dxa"/>
          <w:right w:w="0" w:type="dxa"/>
        </w:tblCellMar>
      </w:tblPr>
      <w:tblGrid>
        <w:gridCol w:w="1008"/>
        <w:gridCol w:w="116"/>
        <w:gridCol w:w="124"/>
        <w:gridCol w:w="90"/>
        <w:gridCol w:w="1634"/>
        <w:gridCol w:w="1048"/>
        <w:gridCol w:w="1050"/>
        <w:gridCol w:w="930"/>
        <w:gridCol w:w="579"/>
        <w:gridCol w:w="214"/>
        <w:gridCol w:w="786"/>
        <w:gridCol w:w="214"/>
        <w:gridCol w:w="786"/>
        <w:gridCol w:w="1001"/>
        <w:gridCol w:w="214"/>
      </w:tblGrid>
      <w:tr>
        <w:tblPrEx>
          <w:tblLayout w:type="fixed"/>
          <w:tblCellMar>
            <w:top w:w="0" w:type="dxa"/>
            <w:left w:w="0" w:type="dxa"/>
            <w:bottom w:w="0" w:type="dxa"/>
            <w:right w:w="0" w:type="dxa"/>
          </w:tblCellMar>
        </w:tblPrEx>
        <w:trPr>
          <w:gridAfter w:val="1"/>
          <w:wAfter w:w="214" w:type="dxa"/>
          <w:trHeight w:val="670" w:hRule="atLeast"/>
          <w:jc w:val="center"/>
        </w:trPr>
        <w:tc>
          <w:tcPr>
            <w:tcW w:w="9580" w:type="dxa"/>
            <w:gridSpan w:val="14"/>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4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9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01"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32"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廊坊市香河县司法局（本级）</w:t>
            </w: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9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01" w:type="dxa"/>
            <w:gridSpan w:val="5"/>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gridAfter w:val="1"/>
          <w:wAfter w:w="214" w:type="dxa"/>
          <w:trHeight w:val="385" w:hRule="atLeast"/>
          <w:jc w:val="center"/>
        </w:trPr>
        <w:tc>
          <w:tcPr>
            <w:tcW w:w="297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4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0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100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0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gridAfter w:val="1"/>
          <w:wAfter w:w="214" w:type="dxa"/>
          <w:trHeight w:val="380" w:hRule="atLeast"/>
          <w:jc w:val="center"/>
        </w:trPr>
        <w:tc>
          <w:tcPr>
            <w:tcW w:w="1124"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848"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0" w:hRule="atLeast"/>
          <w:jc w:val="center"/>
        </w:trPr>
        <w:tc>
          <w:tcPr>
            <w:tcW w:w="1124"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48"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0" w:hRule="atLeast"/>
          <w:jc w:val="center"/>
        </w:trPr>
        <w:tc>
          <w:tcPr>
            <w:tcW w:w="1124"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48"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2972"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gridAfter w:val="1"/>
          <w:wAfter w:w="214" w:type="dxa"/>
          <w:trHeight w:val="385" w:hRule="atLeast"/>
          <w:jc w:val="center"/>
        </w:trPr>
        <w:tc>
          <w:tcPr>
            <w:tcW w:w="2972"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1,181.11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1,181.11</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公共安全支出</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983.46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983.46</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司法</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983.46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983.46</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2040601</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行政运行</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754.59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754.59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2040604</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基层司法业务</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89.71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89.71</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2040605</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普法宣传</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24.72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24.72</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2040607</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法律援助</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12.24</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2040610</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社区矫正</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25.93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25.93</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2040612</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法制建设</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11.27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11.27</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2040699</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其他司法支出</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行政事业单位离退休</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59.02</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73.97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73.97</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卫生健康支出</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行政事业单位医疗</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90"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行政单位医疗</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90"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住房保障支出</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90"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住房改革支出</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90" w:hRule="atLeast"/>
          <w:jc w:val="center"/>
        </w:trPr>
        <w:tc>
          <w:tcPr>
            <w:tcW w:w="11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184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住房公积金</w:t>
            </w:r>
          </w:p>
        </w:tc>
        <w:tc>
          <w:tcPr>
            <w:tcW w:w="10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214" w:type="dxa"/>
          <w:trHeight w:val="385" w:hRule="atLeast"/>
          <w:jc w:val="center"/>
        </w:trPr>
        <w:tc>
          <w:tcPr>
            <w:tcW w:w="9580" w:type="dxa"/>
            <w:gridSpan w:val="14"/>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Ind w:w="0" w:type="dxa"/>
        <w:tblLayout w:type="fixed"/>
        <w:tblCellMar>
          <w:top w:w="0" w:type="dxa"/>
          <w:left w:w="0" w:type="dxa"/>
          <w:bottom w:w="0" w:type="dxa"/>
          <w:right w:w="0" w:type="dxa"/>
        </w:tblCellMar>
      </w:tblPr>
      <w:tblGrid>
        <w:gridCol w:w="941"/>
        <w:gridCol w:w="53"/>
        <w:gridCol w:w="111"/>
        <w:gridCol w:w="1658"/>
        <w:gridCol w:w="1425"/>
        <w:gridCol w:w="1140"/>
        <w:gridCol w:w="1155"/>
        <w:gridCol w:w="1020"/>
        <w:gridCol w:w="975"/>
        <w:gridCol w:w="1202"/>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8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廊坊市香河县司法局（本级）</w:t>
            </w:r>
          </w:p>
        </w:tc>
        <w:tc>
          <w:tcPr>
            <w:tcW w:w="11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7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23" w:hRule="atLeast"/>
          <w:jc w:val="center"/>
        </w:trPr>
        <w:tc>
          <w:tcPr>
            <w:tcW w:w="276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4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0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20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5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4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5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5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276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2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23" w:hRule="atLeast"/>
          <w:jc w:val="center"/>
        </w:trPr>
        <w:tc>
          <w:tcPr>
            <w:tcW w:w="276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1,109.54</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959.11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150.43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公共安全支出</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911.89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761.46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150.43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司法</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911.89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761.46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150.43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2040601</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761.46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761.46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2040604</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基层司法业务</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89.56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89.56</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2040605</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普法宣传</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24.64</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24.64</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2040607</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法律援助</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14.91</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14.91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2040610</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社区矫正</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5.67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5.67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2040612</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法制建设</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11.27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11.27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2040699</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其他司法支出</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59.02</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73.97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73.97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6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764" w:type="dxa"/>
        <w:jc w:val="center"/>
        <w:tblInd w:w="-152" w:type="dxa"/>
        <w:tblLayout w:type="fixed"/>
        <w:tblCellMar>
          <w:top w:w="0" w:type="dxa"/>
          <w:left w:w="0" w:type="dxa"/>
          <w:bottom w:w="0" w:type="dxa"/>
          <w:right w:w="0" w:type="dxa"/>
        </w:tblCellMar>
      </w:tblPr>
      <w:tblGrid>
        <w:gridCol w:w="2669"/>
        <w:gridCol w:w="420"/>
        <w:gridCol w:w="856"/>
        <w:gridCol w:w="2925"/>
        <w:gridCol w:w="465"/>
        <w:gridCol w:w="870"/>
        <w:gridCol w:w="915"/>
        <w:gridCol w:w="644"/>
      </w:tblGrid>
      <w:tr>
        <w:tblPrEx>
          <w:tblLayout w:type="fixed"/>
          <w:tblCellMar>
            <w:top w:w="0" w:type="dxa"/>
            <w:left w:w="0" w:type="dxa"/>
            <w:bottom w:w="0" w:type="dxa"/>
            <w:right w:w="0" w:type="dxa"/>
          </w:tblCellMar>
        </w:tblPrEx>
        <w:trPr>
          <w:trHeight w:val="406" w:hRule="atLeast"/>
          <w:jc w:val="center"/>
        </w:trPr>
        <w:tc>
          <w:tcPr>
            <w:tcW w:w="9764"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2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90" w:hRule="atLeast"/>
          <w:jc w:val="center"/>
        </w:trPr>
        <w:tc>
          <w:tcPr>
            <w:tcW w:w="308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部门：廊坊市香河县司法局（本级）</w:t>
            </w:r>
          </w:p>
        </w:tc>
        <w:tc>
          <w:tcPr>
            <w:tcW w:w="8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2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90" w:hRule="atLeast"/>
          <w:jc w:val="center"/>
        </w:trPr>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819"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jc w:val="center"/>
        </w:trPr>
        <w:tc>
          <w:tcPr>
            <w:tcW w:w="266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5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7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6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66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一、一般公共预算财政拨款</w:t>
            </w: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1,181.11</w:t>
            </w: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一、一般公共服务支出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二、政府性基金预算财政拨款</w:t>
            </w: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二、外交支出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三、国防支出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四、公共安全支出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911.89</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911.89</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五、教育支出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六、科学技术支出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七、文化旅游体育与传媒支出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八、社会保障和就业支出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132.99</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132.99</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九、卫生健康支出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24.06</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24.06</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十、节能环保支出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十一、城乡社区支出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十二、农林水支出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十三、交通运输支出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十四、资源勘探信息等支出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十五、商业服务业等支出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十六、金融支出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十七、援助其他地区支出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十八、自然资源海洋气象等支出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十九、住房保障支出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40.60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40.60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二十、粮油物资储备支出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二十一、灾害防治及应急支出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二十二、其他支出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二十四、债务付息支出</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本年收入合计</w:t>
            </w: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1,181.11</w:t>
            </w: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本年支出合计</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1,109.54</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1,109.54</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年初财政拨款结转和结余</w:t>
            </w: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19.22</w:t>
            </w: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年末财政拨款结转和结余</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90.79</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90.79</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一、一般公共预算财政拨款</w:t>
            </w: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19.22</w:t>
            </w: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二、政府性基金预算财政拨款</w:t>
            </w: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总计</w:t>
            </w:r>
          </w:p>
        </w:tc>
        <w:tc>
          <w:tcPr>
            <w:tcW w:w="4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8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1,200.33</w:t>
            </w: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总计</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1,200.33</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1,200.33</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9764"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Ind w:w="0" w:type="dxa"/>
        <w:tblLayout w:type="fixed"/>
        <w:tblCellMar>
          <w:top w:w="0" w:type="dxa"/>
          <w:left w:w="0" w:type="dxa"/>
          <w:bottom w:w="0" w:type="dxa"/>
          <w:right w:w="0" w:type="dxa"/>
        </w:tblCellMar>
      </w:tblPr>
      <w:tblGrid>
        <w:gridCol w:w="1174"/>
        <w:gridCol w:w="67"/>
        <w:gridCol w:w="67"/>
        <w:gridCol w:w="2210"/>
        <w:gridCol w:w="1814"/>
        <w:gridCol w:w="2329"/>
        <w:gridCol w:w="2329"/>
      </w:tblGrid>
      <w:tr>
        <w:tblPrEx>
          <w:tblLayout w:type="fixed"/>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1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24"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廊坊市香河县司法局（本级）</w:t>
            </w: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351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47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21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8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8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8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51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351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1,109.54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959.11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150.43</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w:t>
            </w:r>
          </w:p>
        </w:tc>
        <w:tc>
          <w:tcPr>
            <w:tcW w:w="2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公共安全支出</w:t>
            </w:r>
          </w:p>
        </w:tc>
        <w:tc>
          <w:tcPr>
            <w:tcW w:w="1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911.89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761.46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150.43</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w:t>
            </w:r>
          </w:p>
        </w:tc>
        <w:tc>
          <w:tcPr>
            <w:tcW w:w="2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司法</w:t>
            </w:r>
          </w:p>
        </w:tc>
        <w:tc>
          <w:tcPr>
            <w:tcW w:w="1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911.89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761.46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150.43</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2040601</w:t>
            </w:r>
          </w:p>
        </w:tc>
        <w:tc>
          <w:tcPr>
            <w:tcW w:w="2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761.46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761.46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2040604</w:t>
            </w:r>
          </w:p>
        </w:tc>
        <w:tc>
          <w:tcPr>
            <w:tcW w:w="2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基层司法业务</w:t>
            </w:r>
          </w:p>
        </w:tc>
        <w:tc>
          <w:tcPr>
            <w:tcW w:w="18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89.56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89.56</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2040605</w:t>
            </w:r>
          </w:p>
        </w:tc>
        <w:tc>
          <w:tcPr>
            <w:tcW w:w="221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普法宣传</w:t>
            </w:r>
          </w:p>
        </w:tc>
        <w:tc>
          <w:tcPr>
            <w:tcW w:w="181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24.64</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24.64</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2040607</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法律援助</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14.91</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14.91</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2040610</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社区矫正</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5.67</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5.67</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2040612</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法制建设</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11.27</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11.27</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2040699</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其他司法支出</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4.38</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4.38</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132.99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59.02</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59.02</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73.97</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73.97</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24.06</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2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40.60</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rPr>
      </w:pPr>
      <w:r>
        <w:rPr>
          <w:rFonts w:hint="eastAsia"/>
        </w:rPr>
        <w:t>注：本表反映部门本年度一般公共预算财政拨款支出情况。</w:t>
      </w:r>
    </w:p>
    <w:p>
      <w:r>
        <w:br w:type="page"/>
      </w:r>
    </w:p>
    <w:tbl>
      <w:tblPr>
        <w:tblStyle w:val="6"/>
        <w:tblW w:w="10275" w:type="dxa"/>
        <w:jc w:val="center"/>
        <w:tblInd w:w="0" w:type="dxa"/>
        <w:tblLayout w:type="fixed"/>
        <w:tblCellMar>
          <w:top w:w="0" w:type="dxa"/>
          <w:left w:w="0" w:type="dxa"/>
          <w:bottom w:w="0" w:type="dxa"/>
          <w:right w:w="0" w:type="dxa"/>
        </w:tblCellMar>
      </w:tblPr>
      <w:tblGrid>
        <w:gridCol w:w="598"/>
        <w:gridCol w:w="2058"/>
        <w:gridCol w:w="687"/>
        <w:gridCol w:w="615"/>
        <w:gridCol w:w="2100"/>
        <w:gridCol w:w="575"/>
        <w:gridCol w:w="744"/>
        <w:gridCol w:w="2314"/>
        <w:gridCol w:w="584"/>
      </w:tblGrid>
      <w:tr>
        <w:tblPrEx>
          <w:tblLayout w:type="fixed"/>
          <w:tblCellMar>
            <w:top w:w="0" w:type="dxa"/>
            <w:left w:w="0" w:type="dxa"/>
            <w:bottom w:w="0" w:type="dxa"/>
            <w:right w:w="0" w:type="dxa"/>
          </w:tblCellMar>
        </w:tblPrEx>
        <w:trPr>
          <w:trHeight w:val="489" w:hRule="atLeast"/>
          <w:jc w:val="center"/>
        </w:trPr>
        <w:tc>
          <w:tcPr>
            <w:tcW w:w="10275"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Layout w:type="fixed"/>
          <w:tblCellMar>
            <w:top w:w="0" w:type="dxa"/>
            <w:left w:w="0" w:type="dxa"/>
            <w:bottom w:w="0" w:type="dxa"/>
            <w:right w:w="0" w:type="dxa"/>
          </w:tblCellMar>
        </w:tblPrEx>
        <w:trPr>
          <w:trHeight w:val="174" w:hRule="atLeast"/>
          <w:jc w:val="center"/>
        </w:trPr>
        <w:tc>
          <w:tcPr>
            <w:tcW w:w="5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8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9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Layout w:type="fixed"/>
          <w:tblCellMar>
            <w:top w:w="0" w:type="dxa"/>
            <w:left w:w="0" w:type="dxa"/>
            <w:bottom w:w="0" w:type="dxa"/>
            <w:right w:w="0" w:type="dxa"/>
          </w:tblCellMar>
        </w:tblPrEx>
        <w:trPr>
          <w:trHeight w:val="339" w:hRule="atLeast"/>
          <w:jc w:val="center"/>
        </w:trPr>
        <w:tc>
          <w:tcPr>
            <w:tcW w:w="59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360"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廊坊市香河县司法局（本级）</w:t>
            </w:r>
          </w:p>
        </w:tc>
        <w:tc>
          <w:tcPr>
            <w:tcW w:w="21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9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Layout w:type="fixed"/>
          <w:tblCellMar>
            <w:top w:w="0" w:type="dxa"/>
            <w:left w:w="0" w:type="dxa"/>
            <w:bottom w:w="0" w:type="dxa"/>
            <w:right w:w="0" w:type="dxa"/>
          </w:tblCellMar>
        </w:tblPrEx>
        <w:trPr>
          <w:trHeight w:val="277" w:hRule="atLeast"/>
          <w:jc w:val="center"/>
        </w:trPr>
        <w:tc>
          <w:tcPr>
            <w:tcW w:w="33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932"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Layout w:type="fixed"/>
          <w:tblCellMar>
            <w:top w:w="0" w:type="dxa"/>
            <w:left w:w="0" w:type="dxa"/>
            <w:bottom w:w="0" w:type="dxa"/>
            <w:right w:w="0" w:type="dxa"/>
          </w:tblCellMar>
        </w:tblPrEx>
        <w:trPr>
          <w:trHeight w:val="362" w:hRule="atLeast"/>
          <w:jc w:val="center"/>
        </w:trPr>
        <w:tc>
          <w:tcPr>
            <w:tcW w:w="59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20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68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21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5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23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58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312" w:hRule="atLeast"/>
          <w:jc w:val="center"/>
        </w:trPr>
        <w:tc>
          <w:tcPr>
            <w:tcW w:w="59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8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8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790.34</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93.31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188.08</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6.90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313.63</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2.82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125.42</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7.01</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0.41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59.02</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29.42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24.06</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4.72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2.09</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1.55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47"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40.60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0.18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30.43</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75.46</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1.49</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7.20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73.97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3.47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5.81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3.72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26.53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5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2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21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23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656"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6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865.80</w:t>
            </w:r>
          </w:p>
        </w:tc>
        <w:tc>
          <w:tcPr>
            <w:tcW w:w="634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93.31</w:t>
            </w:r>
          </w:p>
        </w:tc>
      </w:tr>
    </w:tbl>
    <w:p>
      <w:r>
        <w:br w:type="page"/>
      </w:r>
    </w:p>
    <w:tbl>
      <w:tblPr>
        <w:tblStyle w:val="6"/>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25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廊坊市香河县司法局（本级）</w:t>
            </w: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14.33</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14.33</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14.33</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14.33</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13.94</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13.94</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13.94</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p>
    <w:p>
      <w:r>
        <w:br w:type="page"/>
      </w:r>
    </w:p>
    <w:tbl>
      <w:tblPr>
        <w:tblStyle w:val="6"/>
        <w:tblW w:w="9510" w:type="dxa"/>
        <w:jc w:val="center"/>
        <w:tblInd w:w="0" w:type="dxa"/>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4"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廊坊市香河县司法局（本级）</w:t>
            </w: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cs="宋体"/>
          <w:color w:val="000000"/>
          <w:kern w:val="0"/>
          <w:szCs w:val="21"/>
        </w:rPr>
        <w:t>注：本表反映部门本年度政府性基金预算财政拨款收入、支出及结转和结余情况,我单位</w:t>
      </w:r>
      <w:r>
        <w:rPr>
          <w:rFonts w:ascii="宋体" w:hAnsi="宋体" w:cs="宋体"/>
          <w:color w:val="000000"/>
          <w:kern w:val="0"/>
          <w:szCs w:val="21"/>
        </w:rPr>
        <w:t>201</w:t>
      </w:r>
      <w:r>
        <w:rPr>
          <w:rFonts w:hint="eastAsia" w:ascii="宋体" w:hAnsi="宋体" w:cs="宋体"/>
          <w:color w:val="000000"/>
          <w:kern w:val="0"/>
          <w:szCs w:val="21"/>
          <w:lang w:val="en-US" w:eastAsia="zh-CN"/>
        </w:rPr>
        <w:t>9</w:t>
      </w:r>
      <w:r>
        <w:rPr>
          <w:rFonts w:hint="eastAsia" w:ascii="宋体" w:hAnsi="宋体" w:cs="宋体"/>
          <w:color w:val="000000"/>
          <w:kern w:val="0"/>
          <w:szCs w:val="21"/>
        </w:rPr>
        <w:t>年度无此项目空表列示。</w:t>
      </w:r>
      <w:r>
        <w:br w:type="page"/>
      </w:r>
    </w:p>
    <w:tbl>
      <w:tblPr>
        <w:tblStyle w:val="6"/>
        <w:tblW w:w="9915" w:type="dxa"/>
        <w:jc w:val="center"/>
        <w:tblInd w:w="0" w:type="dxa"/>
        <w:tblLayout w:type="fixed"/>
        <w:tblCellMar>
          <w:top w:w="0" w:type="dxa"/>
          <w:left w:w="0" w:type="dxa"/>
          <w:bottom w:w="0" w:type="dxa"/>
          <w:right w:w="0" w:type="dxa"/>
        </w:tblCellMar>
      </w:tblPr>
      <w:tblGrid>
        <w:gridCol w:w="1288"/>
        <w:gridCol w:w="74"/>
        <w:gridCol w:w="74"/>
        <w:gridCol w:w="3798"/>
        <w:gridCol w:w="961"/>
        <w:gridCol w:w="1860"/>
        <w:gridCol w:w="1860"/>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廊坊市香河县司法局（本级）</w:t>
            </w: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rPr>
      </w:pPr>
      <w:r>
        <w:rPr>
          <w:rFonts w:hint="eastAsia" w:ascii="宋体" w:hAnsi="宋体" w:cs="宋体"/>
          <w:color w:val="000000"/>
          <w:kern w:val="0"/>
          <w:sz w:val="22"/>
          <w:szCs w:val="22"/>
        </w:rPr>
        <w:t>注：本表反映部门本年度国有资本经营预算财政拨款支出情况。</w:t>
      </w:r>
      <w:r>
        <w:rPr>
          <w:rFonts w:hint="eastAsia" w:ascii="宋体" w:hAnsi="宋体" w:cs="宋体"/>
          <w:color w:val="000000"/>
          <w:kern w:val="0"/>
          <w:szCs w:val="21"/>
        </w:rPr>
        <w:t>我单位</w:t>
      </w:r>
      <w:r>
        <w:rPr>
          <w:rFonts w:ascii="宋体" w:hAnsi="宋体" w:cs="宋体"/>
          <w:color w:val="000000"/>
          <w:kern w:val="0"/>
          <w:szCs w:val="21"/>
        </w:rPr>
        <w:t>201</w:t>
      </w:r>
      <w:r>
        <w:rPr>
          <w:rFonts w:hint="eastAsia" w:ascii="宋体" w:hAnsi="宋体" w:cs="宋体"/>
          <w:color w:val="000000"/>
          <w:kern w:val="0"/>
          <w:szCs w:val="21"/>
          <w:lang w:val="en-US" w:eastAsia="zh-CN"/>
        </w:rPr>
        <w:t>9</w:t>
      </w:r>
      <w:r>
        <w:rPr>
          <w:rFonts w:hint="eastAsia" w:ascii="宋体" w:hAnsi="宋体" w:cs="宋体"/>
          <w:color w:val="000000"/>
          <w:kern w:val="0"/>
          <w:szCs w:val="21"/>
        </w:rPr>
        <w:t>年度无此项目空表列示。</w:t>
      </w:r>
    </w:p>
    <w:p>
      <w:r>
        <w:br w:type="page"/>
      </w:r>
    </w:p>
    <w:p>
      <w:pPr>
        <w:tabs>
          <w:tab w:val="left" w:pos="886"/>
        </w:tabs>
        <w:jc w:val="left"/>
      </w:pPr>
    </w:p>
    <w:p>
      <w:r>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28281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5" w:type="first"/>
      <w:headerReference r:id="rId24" w:type="default"/>
      <w:footerReference r:id="rId26"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___WRD_EMBED_SUB_39">
    <w:panose1 w:val="02010600030101010101"/>
    <w:charset w:val="86"/>
    <w:family w:val="modern"/>
    <w:pitch w:val="default"/>
    <w:sig w:usb0="00000000" w:usb1="00000000" w:usb2="00000000" w:usb3="00000000" w:csb0="0000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3844D9F"/>
    <w:rsid w:val="05B00A30"/>
    <w:rsid w:val="082A4D6E"/>
    <w:rsid w:val="0B011416"/>
    <w:rsid w:val="147E0517"/>
    <w:rsid w:val="17641888"/>
    <w:rsid w:val="20296FEA"/>
    <w:rsid w:val="2268795A"/>
    <w:rsid w:val="298A765A"/>
    <w:rsid w:val="31C2036A"/>
    <w:rsid w:val="320D02A5"/>
    <w:rsid w:val="348E566F"/>
    <w:rsid w:val="3758122C"/>
    <w:rsid w:val="3A226944"/>
    <w:rsid w:val="3AB87F35"/>
    <w:rsid w:val="3AEE6A48"/>
    <w:rsid w:val="3C1620AA"/>
    <w:rsid w:val="3D8F080F"/>
    <w:rsid w:val="3F02446C"/>
    <w:rsid w:val="3F8439E3"/>
    <w:rsid w:val="44CE1FA4"/>
    <w:rsid w:val="47E33054"/>
    <w:rsid w:val="487F73ED"/>
    <w:rsid w:val="48985C92"/>
    <w:rsid w:val="4A347EAE"/>
    <w:rsid w:val="52600405"/>
    <w:rsid w:val="529B4319"/>
    <w:rsid w:val="57773DD6"/>
    <w:rsid w:val="578B79AB"/>
    <w:rsid w:val="5C235F7B"/>
    <w:rsid w:val="5CCD3FD5"/>
    <w:rsid w:val="5D83483E"/>
    <w:rsid w:val="61F00248"/>
    <w:rsid w:val="61FA5F9D"/>
    <w:rsid w:val="64CD6910"/>
    <w:rsid w:val="64CF28EA"/>
    <w:rsid w:val="664F6967"/>
    <w:rsid w:val="6679404D"/>
    <w:rsid w:val="67325E5C"/>
    <w:rsid w:val="6789158D"/>
    <w:rsid w:val="67D81BA4"/>
    <w:rsid w:val="68255CE9"/>
    <w:rsid w:val="68C76EB7"/>
    <w:rsid w:val="6AAF1C96"/>
    <w:rsid w:val="75681757"/>
    <w:rsid w:val="75697CCA"/>
    <w:rsid w:val="75A346A8"/>
    <w:rsid w:val="794130EA"/>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customXml" Target="../customXml/item1.xml"/><Relationship Id="rId32" Type="http://schemas.openxmlformats.org/officeDocument/2006/relationships/chart" Target="charts/chart4.xml"/><Relationship Id="rId31" Type="http://schemas.openxmlformats.org/officeDocument/2006/relationships/chart" Target="charts/chart3.xml"/><Relationship Id="rId30" Type="http://schemas.openxmlformats.org/officeDocument/2006/relationships/chart" Target="charts/chart2.xml"/><Relationship Id="rId3" Type="http://schemas.openxmlformats.org/officeDocument/2006/relationships/header" Target="header1.xml"/><Relationship Id="rId29" Type="http://schemas.openxmlformats.org/officeDocument/2006/relationships/chart" Target="charts/chart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39321;&#27827;.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ocuments\&#39321;&#27827;.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39321;&#2782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ocuments\&#39321;&#278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0394200077321941"/>
          <c:y val="0.121097217498975"/>
          <c:w val="0.923570369765955"/>
          <c:h val="0.742167403493168"/>
        </c:manualLayout>
      </c:layout>
      <c:pie3DChart>
        <c:varyColors val="1"/>
        <c:ser>
          <c:idx val="0"/>
          <c:order val="0"/>
          <c:spPr/>
          <c:explosion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8817949246859"/>
                  <c:y val="-0.306636670416198"/>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bg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22803111670662"/>
                  <c:y val="0.141600613876754"/>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bg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Sheet1!$B$3:$B$4</c:f>
              <c:strCache>
                <c:ptCount val="2"/>
                <c:pt idx="0">
                  <c:v>基本支出</c:v>
                </c:pt>
                <c:pt idx="1">
                  <c:v>项目支出</c:v>
                </c:pt>
              </c:strCache>
            </c:strRef>
          </c:cat>
          <c:val>
            <c:numRef>
              <c:f>Sheet1!$C$3:$C$4</c:f>
              <c:numCache>
                <c:formatCode>0.00%</c:formatCode>
                <c:ptCount val="2"/>
                <c:pt idx="0">
                  <c:v>0.8644</c:v>
                </c:pt>
                <c:pt idx="1">
                  <c:v>0.1356</c:v>
                </c:pt>
              </c:numCache>
            </c:numRef>
          </c:val>
        </c:ser>
        <c:dLbls>
          <c:showLegendKey val="0"/>
          <c:showVal val="0"/>
          <c:showCatName val="1"/>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Sheet1!$A$13</c:f>
              <c:strCache>
                <c:ptCount val="1"/>
                <c:pt idx="0">
                  <c:v>2018年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0194444444444444"/>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1111111111111"/>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Sheet1!$B$12:$C$12</c:f>
              <c:strCache>
                <c:ptCount val="2"/>
                <c:pt idx="0">
                  <c:v>收入（万元）</c:v>
                </c:pt>
                <c:pt idx="1">
                  <c:v>支出（万元）</c:v>
                </c:pt>
              </c:strCache>
            </c:strRef>
          </c:cat>
          <c:val>
            <c:numRef>
              <c:f>Sheet1!$B$13:$C$13</c:f>
              <c:numCache>
                <c:formatCode>General</c:formatCode>
                <c:ptCount val="2"/>
                <c:pt idx="0">
                  <c:v>1199.42</c:v>
                </c:pt>
                <c:pt idx="1">
                  <c:v>1162.11</c:v>
                </c:pt>
              </c:numCache>
            </c:numRef>
          </c:val>
        </c:ser>
        <c:ser>
          <c:idx val="1"/>
          <c:order val="1"/>
          <c:tx>
            <c:strRef>
              <c:f>Sheet1!$A$14</c:f>
              <c:strCache>
                <c:ptCount val="1"/>
                <c:pt idx="0">
                  <c:v>2019年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0111111111111111"/>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2222222222222"/>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Sheet1!$B$12:$C$12</c:f>
              <c:strCache>
                <c:ptCount val="2"/>
                <c:pt idx="0">
                  <c:v>收入（万元）</c:v>
                </c:pt>
                <c:pt idx="1">
                  <c:v>支出（万元）</c:v>
                </c:pt>
              </c:strCache>
            </c:strRef>
          </c:cat>
          <c:val>
            <c:numRef>
              <c:f>Sheet1!$B$14:$C$14</c:f>
              <c:numCache>
                <c:formatCode>General</c:formatCode>
                <c:ptCount val="2"/>
                <c:pt idx="0">
                  <c:v>1181.11</c:v>
                </c:pt>
                <c:pt idx="1">
                  <c:v>1109.54</c:v>
                </c:pt>
              </c:numCache>
            </c:numRef>
          </c:val>
        </c:ser>
        <c:dLbls>
          <c:showLegendKey val="0"/>
          <c:showVal val="1"/>
          <c:showCatName val="0"/>
          <c:showSerName val="0"/>
          <c:showPercent val="0"/>
          <c:showBubbleSize val="0"/>
        </c:dLbls>
        <c:gapWidth val="150"/>
        <c:axId val="671705584"/>
        <c:axId val="346188728"/>
      </c:barChart>
      <c:catAx>
        <c:axId val="671705584"/>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6188728"/>
        <c:crosses val="autoZero"/>
        <c:auto val="1"/>
        <c:lblAlgn val="ctr"/>
        <c:lblOffset val="100"/>
        <c:noMultiLvlLbl val="0"/>
      </c:catAx>
      <c:valAx>
        <c:axId val="346188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70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63356973995"/>
          <c:y val="0.0789068514241724"/>
          <c:w val="0.87210401891253"/>
          <c:h val="0.864973056197075"/>
        </c:manualLayout>
      </c:layout>
      <c:bar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Sheet1!$A$21:$A$23</c:f>
              <c:strCache>
                <c:ptCount val="3"/>
                <c:pt idx="0">
                  <c:v>年初预算（万元）</c:v>
                </c:pt>
                <c:pt idx="1">
                  <c:v>收入（万元）</c:v>
                </c:pt>
                <c:pt idx="2">
                  <c:v>支出（万元）</c:v>
                </c:pt>
              </c:strCache>
            </c:strRef>
          </c:cat>
          <c:val>
            <c:numRef>
              <c:f>Sheet1!$B$21:$B$23</c:f>
              <c:numCache>
                <c:formatCode>General</c:formatCode>
                <c:ptCount val="3"/>
                <c:pt idx="0">
                  <c:v>1356.64</c:v>
                </c:pt>
                <c:pt idx="1">
                  <c:v>1181.11</c:v>
                </c:pt>
                <c:pt idx="2">
                  <c:v>1109.54</c:v>
                </c:pt>
              </c:numCache>
            </c:numRef>
          </c:val>
        </c:ser>
        <c:dLbls>
          <c:showLegendKey val="0"/>
          <c:showVal val="1"/>
          <c:showCatName val="0"/>
          <c:showSerName val="0"/>
          <c:showPercent val="0"/>
          <c:showBubbleSize val="0"/>
        </c:dLbls>
        <c:gapWidth val="150"/>
        <c:axId val="346189512"/>
        <c:axId val="346189904"/>
      </c:barChart>
      <c:catAx>
        <c:axId val="346189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6189904"/>
        <c:crosses val="autoZero"/>
        <c:auto val="1"/>
        <c:lblAlgn val="ctr"/>
        <c:lblOffset val="100"/>
        <c:noMultiLvlLbl val="0"/>
      </c:catAx>
      <c:valAx>
        <c:axId val="346189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6189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0875"/>
          <c:y val="0.168981481481481"/>
          <c:w val="0.813888888888889"/>
          <c:h val="0.773148148148148"/>
        </c:manualLayout>
      </c:layout>
      <c:pie3DChart>
        <c:varyColors val="1"/>
        <c:ser>
          <c:idx val="0"/>
          <c:order val="0"/>
          <c:explosion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numFmt formatCode="0.0%" sourceLinked="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0833333333333333"/>
                  <c:y val="-0.0277777777777778"/>
                </c:manualLayout>
              </c:layout>
              <c:numFmt formatCode="0.0%" sourceLinked="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noAutofit/>
                </a:bodyPr>
                <a:lstStyle/>
                <a:p>
                  <a:pPr>
                    <a:defRPr lang="zh-CN" sz="1000" b="1" i="0" u="none" strike="noStrike" kern="120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5241251093613"/>
                      <c:h val="0.164849081364829"/>
                    </c:manualLayout>
                  </c15:layout>
                </c:ext>
              </c:extLst>
            </c:dLbl>
            <c:dLbl>
              <c:idx val="2"/>
              <c:layout>
                <c:manualLayout>
                  <c:x val="0.00555555555555556"/>
                  <c:y val="-0.0324074074074074"/>
                </c:manualLayout>
              </c:layout>
              <c:numFmt formatCode="0.0%" sourceLinked="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
                  <c:y val="-0.0185185185185185"/>
                </c:manualLayout>
              </c:layout>
              <c:numFmt formatCode="0.0%" sourceLinked="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solidFill>
                <a:sysClr val="window" lastClr="FFFFFF"/>
              </a:solidFill>
              <a:ln>
                <a:solidFill>
                  <a:srgbClr val="5B9BD5"/>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Sheet1!$B$39:$B$42</c:f>
              <c:strCache>
                <c:ptCount val="4"/>
                <c:pt idx="0">
                  <c:v>公共安全类</c:v>
                </c:pt>
                <c:pt idx="1">
                  <c:v>社会保障和就业类</c:v>
                </c:pt>
                <c:pt idx="2">
                  <c:v>住房保障</c:v>
                </c:pt>
                <c:pt idx="3">
                  <c:v>卫生健康支出</c:v>
                </c:pt>
              </c:strCache>
            </c:strRef>
          </c:cat>
          <c:val>
            <c:numRef>
              <c:f>Sheet1!$C$39:$C$42</c:f>
              <c:numCache>
                <c:formatCode>0.00%</c:formatCode>
                <c:ptCount val="4"/>
                <c:pt idx="0">
                  <c:v>0.8219</c:v>
                </c:pt>
                <c:pt idx="1">
                  <c:v>0.1199</c:v>
                </c:pt>
                <c:pt idx="2">
                  <c:v>0.0366</c:v>
                </c:pt>
                <c:pt idx="3">
                  <c:v>0.0216</c:v>
                </c:pt>
              </c:numCache>
            </c:numRef>
          </c:val>
        </c:ser>
        <c:dLbls>
          <c:showLegendKey val="0"/>
          <c:showVal val="1"/>
          <c:showCatName val="0"/>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1</TotalTime>
  <ScaleCrop>false</ScaleCrop>
  <LinksUpToDate>false</LinksUpToDate>
  <CharactersWithSpaces>11119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2021-05-30T03:11:28Z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